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8748" w14:textId="0B34EC33" w:rsidR="00B930E3" w:rsidRPr="00F63987" w:rsidRDefault="007A4168">
      <w:pPr>
        <w:rPr>
          <w:sz w:val="2"/>
          <w:szCs w:val="2"/>
        </w:rPr>
      </w:pPr>
      <w:r>
        <w:rPr>
          <w:sz w:val="2"/>
          <w:szCs w:val="2"/>
          <w:lang w:val="en-US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:rsidRPr="00C30863" w14:paraId="28DB2AB6" w14:textId="77777777" w:rsidTr="00B930E3">
        <w:trPr>
          <w:trHeight w:val="851"/>
        </w:trPr>
        <w:tc>
          <w:tcPr>
            <w:tcW w:w="3207" w:type="dxa"/>
          </w:tcPr>
          <w:p w14:paraId="2A99A7A7" w14:textId="77777777" w:rsidR="00410EC0" w:rsidRDefault="00410EC0" w:rsidP="00776003"/>
        </w:tc>
        <w:tc>
          <w:tcPr>
            <w:tcW w:w="3227" w:type="dxa"/>
            <w:vMerge w:val="restart"/>
          </w:tcPr>
          <w:p w14:paraId="63C18AFB" w14:textId="77777777" w:rsidR="00410EC0" w:rsidRPr="00C30863" w:rsidRDefault="00410EC0" w:rsidP="00776003">
            <w:pPr>
              <w:jc w:val="center"/>
            </w:pPr>
            <w:r w:rsidRPr="00C30863">
              <w:object w:dxaOrig="1595" w:dyaOrig="2201" w14:anchorId="538469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8pt" o:ole="">
                  <v:imagedata r:id="rId12" o:title=""/>
                </v:shape>
                <o:OLEObject Type="Embed" ProgID="CorelDraw.Graphic.16" ShapeID="_x0000_i1025" DrawAspect="Content" ObjectID="_1813651988" r:id="rId13"/>
              </w:object>
            </w:r>
          </w:p>
        </w:tc>
        <w:tc>
          <w:tcPr>
            <w:tcW w:w="3204" w:type="dxa"/>
          </w:tcPr>
          <w:p w14:paraId="12FDACCF" w14:textId="5337A8C3" w:rsidR="00410EC0" w:rsidRPr="00C30863" w:rsidRDefault="00756D4A" w:rsidP="00E81B9A">
            <w:pPr>
              <w:jc w:val="right"/>
              <w:rPr>
                <w:sz w:val="20"/>
                <w:szCs w:val="20"/>
              </w:rPr>
            </w:pPr>
            <w:r w:rsidRPr="00756D4A">
              <w:t>ПРО</w:t>
            </w:r>
            <w:bookmarkStart w:id="0" w:name="_GoBack"/>
            <w:bookmarkEnd w:id="0"/>
            <w:r w:rsidRPr="00756D4A">
              <w:t>ЄКТ</w:t>
            </w:r>
          </w:p>
        </w:tc>
      </w:tr>
      <w:tr w:rsidR="00410EC0" w:rsidRPr="00C30863" w14:paraId="600C06DC" w14:textId="77777777" w:rsidTr="00B930E3">
        <w:tc>
          <w:tcPr>
            <w:tcW w:w="3207" w:type="dxa"/>
          </w:tcPr>
          <w:p w14:paraId="7B0253B7" w14:textId="77777777" w:rsidR="00410EC0" w:rsidRPr="00C30863" w:rsidRDefault="00410EC0" w:rsidP="00776003"/>
        </w:tc>
        <w:tc>
          <w:tcPr>
            <w:tcW w:w="3227" w:type="dxa"/>
            <w:vMerge/>
          </w:tcPr>
          <w:p w14:paraId="23529E40" w14:textId="77777777" w:rsidR="00410EC0" w:rsidRPr="00C30863" w:rsidRDefault="00410EC0" w:rsidP="00776003"/>
        </w:tc>
        <w:tc>
          <w:tcPr>
            <w:tcW w:w="3204" w:type="dxa"/>
          </w:tcPr>
          <w:p w14:paraId="338DC003" w14:textId="77777777" w:rsidR="00410EC0" w:rsidRPr="00C30863" w:rsidRDefault="00410EC0" w:rsidP="00776003"/>
        </w:tc>
      </w:tr>
      <w:tr w:rsidR="00410EC0" w:rsidRPr="00C30863" w14:paraId="65880BD3" w14:textId="77777777" w:rsidTr="00B930E3">
        <w:tc>
          <w:tcPr>
            <w:tcW w:w="9638" w:type="dxa"/>
            <w:gridSpan w:val="3"/>
          </w:tcPr>
          <w:p w14:paraId="4870029C" w14:textId="77777777" w:rsidR="00410EC0" w:rsidRPr="00C30863" w:rsidRDefault="00410EC0" w:rsidP="00776003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C30863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C20E89A" w14:textId="77777777" w:rsidR="00410EC0" w:rsidRPr="00C30863" w:rsidRDefault="00410EC0" w:rsidP="00776003">
            <w:pPr>
              <w:jc w:val="center"/>
            </w:pPr>
            <w:r w:rsidRPr="00C30863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2F3A7A1D" w14:textId="77777777" w:rsidR="00410EC0" w:rsidRPr="00C30863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410EC0" w:rsidRPr="00C30863" w14:paraId="21DC4261" w14:textId="77777777" w:rsidTr="00776003">
        <w:tc>
          <w:tcPr>
            <w:tcW w:w="3510" w:type="dxa"/>
            <w:vAlign w:val="bottom"/>
          </w:tcPr>
          <w:p w14:paraId="716B89EB" w14:textId="2A5A29FB" w:rsidR="00410EC0" w:rsidRPr="00C30863" w:rsidRDefault="00410EC0" w:rsidP="009913CD"/>
        </w:tc>
        <w:tc>
          <w:tcPr>
            <w:tcW w:w="2694" w:type="dxa"/>
          </w:tcPr>
          <w:p w14:paraId="4596DEFA" w14:textId="77777777" w:rsidR="00410EC0" w:rsidRPr="00C30863" w:rsidRDefault="00BF0770" w:rsidP="00776003">
            <w:pPr>
              <w:spacing w:before="240"/>
              <w:jc w:val="center"/>
            </w:pPr>
            <w:r w:rsidRPr="00C30863">
              <w:rPr>
                <w:color w:val="006600"/>
                <w:lang w:val="ru-RU"/>
              </w:rPr>
              <w:t xml:space="preserve"> </w:t>
            </w:r>
            <w:r w:rsidR="00410EC0" w:rsidRPr="00C30863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47F4F828" w14:textId="39CD62D3" w:rsidR="00410EC0" w:rsidRPr="00C30863" w:rsidRDefault="00410EC0" w:rsidP="00776003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937" w:type="dxa"/>
            <w:vAlign w:val="bottom"/>
          </w:tcPr>
          <w:p w14:paraId="1BE1007B" w14:textId="77777777" w:rsidR="00410EC0" w:rsidRPr="00C30863" w:rsidRDefault="00410EC0" w:rsidP="00776003">
            <w:pPr>
              <w:jc w:val="left"/>
              <w:rPr>
                <w:color w:val="FFFFFF" w:themeColor="background1"/>
              </w:rPr>
            </w:pPr>
          </w:p>
        </w:tc>
      </w:tr>
    </w:tbl>
    <w:p w14:paraId="19EB58F5" w14:textId="77777777" w:rsidR="00410EC0" w:rsidRPr="00C30863" w:rsidRDefault="00410EC0" w:rsidP="00410EC0">
      <w:pPr>
        <w:rPr>
          <w:sz w:val="2"/>
          <w:szCs w:val="2"/>
        </w:rPr>
      </w:pPr>
    </w:p>
    <w:p w14:paraId="74C0810C" w14:textId="77777777" w:rsidR="00410EC0" w:rsidRPr="00C30863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1038F7" w:rsidRPr="00C30863" w14:paraId="2A9471FD" w14:textId="77777777" w:rsidTr="00776003">
        <w:trPr>
          <w:jc w:val="center"/>
        </w:trPr>
        <w:tc>
          <w:tcPr>
            <w:tcW w:w="5000" w:type="pct"/>
          </w:tcPr>
          <w:p w14:paraId="1823A598" w14:textId="03B9F4F4" w:rsidR="00410EC0" w:rsidRPr="00F95C58" w:rsidRDefault="00D476AD" w:rsidP="003E4035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lang w:eastAsia="en-US"/>
              </w:rPr>
            </w:pPr>
            <w:r w:rsidRPr="00C30863">
              <w:rPr>
                <w:rFonts w:eastAsiaTheme="minorEastAsia"/>
                <w:lang w:eastAsia="en-US"/>
              </w:rPr>
              <w:t xml:space="preserve">Про затвердження </w:t>
            </w:r>
            <w:r w:rsidR="00AA5088" w:rsidRPr="00C30863">
              <w:rPr>
                <w:rFonts w:eastAsiaTheme="minorEastAsia"/>
                <w:lang w:eastAsia="en-US"/>
              </w:rPr>
              <w:t>Положення про</w:t>
            </w:r>
            <w:r w:rsidR="004648CC" w:rsidRPr="00C30863">
              <w:rPr>
                <w:rFonts w:eastAsiaTheme="minorEastAsia"/>
                <w:lang w:eastAsia="en-US"/>
              </w:rPr>
              <w:t xml:space="preserve"> критерії</w:t>
            </w:r>
            <w:r w:rsidR="003E4035">
              <w:rPr>
                <w:rFonts w:eastAsiaTheme="minorEastAsia"/>
                <w:lang w:eastAsia="en-US"/>
              </w:rPr>
              <w:t>, за</w:t>
            </w:r>
            <w:r w:rsidR="00AA5088" w:rsidRPr="00C30863">
              <w:rPr>
                <w:rFonts w:eastAsiaTheme="minorEastAsia"/>
                <w:lang w:eastAsia="en-US"/>
              </w:rPr>
              <w:t xml:space="preserve"> </w:t>
            </w:r>
            <w:r w:rsidR="003E4035">
              <w:rPr>
                <w:rFonts w:eastAsiaTheme="minorEastAsia"/>
                <w:lang w:eastAsia="en-US"/>
              </w:rPr>
              <w:t xml:space="preserve">якими </w:t>
            </w:r>
            <w:r w:rsidR="00AA5088" w:rsidRPr="00C30863">
              <w:rPr>
                <w:rFonts w:eastAsiaTheme="minorEastAsia"/>
                <w:lang w:eastAsia="en-US"/>
              </w:rPr>
              <w:t>визнач</w:t>
            </w:r>
            <w:r w:rsidR="003E4035">
              <w:rPr>
                <w:rFonts w:eastAsiaTheme="minorEastAsia"/>
                <w:lang w:eastAsia="en-US"/>
              </w:rPr>
              <w:t>ається</w:t>
            </w:r>
            <w:r w:rsidR="00AA5088" w:rsidRPr="00C30863">
              <w:rPr>
                <w:rFonts w:eastAsiaTheme="minorEastAsia"/>
                <w:lang w:eastAsia="en-US"/>
              </w:rPr>
              <w:t xml:space="preserve"> </w:t>
            </w:r>
            <w:r w:rsidR="005508E9" w:rsidRPr="00C30863">
              <w:rPr>
                <w:rFonts w:eastAsiaTheme="minorEastAsia"/>
                <w:lang w:eastAsia="en-US"/>
              </w:rPr>
              <w:t>значим</w:t>
            </w:r>
            <w:r w:rsidR="003E4035">
              <w:rPr>
                <w:rFonts w:eastAsiaTheme="minorEastAsia"/>
                <w:lang w:eastAsia="en-US"/>
              </w:rPr>
              <w:t>ість</w:t>
            </w:r>
            <w:r w:rsidR="00AA5088" w:rsidRPr="00C30863">
              <w:rPr>
                <w:rFonts w:eastAsiaTheme="minorEastAsia"/>
                <w:lang w:eastAsia="en-US"/>
              </w:rPr>
              <w:t xml:space="preserve"> фінансов</w:t>
            </w:r>
            <w:r w:rsidR="003E4035">
              <w:rPr>
                <w:rFonts w:eastAsiaTheme="minorEastAsia"/>
                <w:lang w:eastAsia="en-US"/>
              </w:rPr>
              <w:t>ої</w:t>
            </w:r>
            <w:r w:rsidR="00AA5088" w:rsidRPr="00F95C58">
              <w:rPr>
                <w:rFonts w:eastAsiaTheme="minorEastAsia"/>
                <w:lang w:eastAsia="en-US"/>
              </w:rPr>
              <w:t xml:space="preserve"> компані</w:t>
            </w:r>
            <w:r w:rsidR="003E4035">
              <w:rPr>
                <w:rFonts w:eastAsiaTheme="minorEastAsia"/>
                <w:lang w:eastAsia="en-US"/>
              </w:rPr>
              <w:t>ї</w:t>
            </w:r>
          </w:p>
        </w:tc>
      </w:tr>
    </w:tbl>
    <w:p w14:paraId="1BE5D27A" w14:textId="252CF8C3" w:rsidR="00410EC0" w:rsidRPr="00C30863" w:rsidRDefault="00D476AD" w:rsidP="00C1431B">
      <w:pPr>
        <w:spacing w:before="240" w:after="240"/>
        <w:ind w:firstLine="567"/>
        <w:rPr>
          <w:b/>
        </w:rPr>
      </w:pPr>
      <w:r w:rsidRPr="00C30863">
        <w:rPr>
          <w:rFonts w:eastAsiaTheme="minorEastAsia"/>
          <w:lang w:eastAsia="en-US"/>
        </w:rPr>
        <w:t>Відповідно до</w:t>
      </w:r>
      <w:r w:rsidR="00DB4C29" w:rsidRPr="00C30863">
        <w:rPr>
          <w:rFonts w:eastAsiaTheme="minorEastAsia"/>
          <w:lang w:eastAsia="en-US"/>
        </w:rPr>
        <w:t xml:space="preserve"> </w:t>
      </w:r>
      <w:r w:rsidRPr="00C30863">
        <w:rPr>
          <w:rFonts w:eastAsiaTheme="minorEastAsia"/>
          <w:lang w:eastAsia="en-US"/>
        </w:rPr>
        <w:t xml:space="preserve">статей 7, 15, </w:t>
      </w:r>
      <w:r w:rsidRPr="00C30863">
        <w:rPr>
          <w:rFonts w:eastAsia="SimSun"/>
        </w:rPr>
        <w:t>55</w:t>
      </w:r>
      <w:r w:rsidRPr="00C30863">
        <w:rPr>
          <w:rFonts w:eastAsia="SimSun"/>
          <w:vertAlign w:val="superscript"/>
        </w:rPr>
        <w:t>1</w:t>
      </w:r>
      <w:r w:rsidRPr="00C30863">
        <w:rPr>
          <w:rFonts w:eastAsiaTheme="minorEastAsia"/>
          <w:lang w:eastAsia="en-US"/>
        </w:rPr>
        <w:t>, 56 Закону України “Про Національний банк України”, стат</w:t>
      </w:r>
      <w:r w:rsidR="005B508B" w:rsidRPr="00C30863">
        <w:rPr>
          <w:rFonts w:eastAsiaTheme="minorEastAsia"/>
          <w:lang w:eastAsia="en-US"/>
        </w:rPr>
        <w:t>ей</w:t>
      </w:r>
      <w:r w:rsidR="005B508B" w:rsidRPr="00C30863">
        <w:t xml:space="preserve"> 21,</w:t>
      </w:r>
      <w:r w:rsidR="00E27B4B" w:rsidRPr="00C30863">
        <w:t xml:space="preserve"> 23,</w:t>
      </w:r>
      <w:r w:rsidR="005B508B" w:rsidRPr="00C30863">
        <w:t xml:space="preserve"> 24, 41</w:t>
      </w:r>
      <w:r w:rsidRPr="00C30863">
        <w:rPr>
          <w:rFonts w:eastAsiaTheme="minorEastAsia"/>
          <w:lang w:eastAsia="en-US"/>
        </w:rPr>
        <w:t xml:space="preserve"> Закону України “Про фінансові </w:t>
      </w:r>
      <w:r w:rsidR="005B508B" w:rsidRPr="00C30863">
        <w:rPr>
          <w:rFonts w:eastAsiaTheme="minorEastAsia"/>
          <w:lang w:eastAsia="en-US"/>
        </w:rPr>
        <w:t>послуги та фінансові компанії”,</w:t>
      </w:r>
      <w:r w:rsidR="000F2B1C" w:rsidRPr="00C30863">
        <w:rPr>
          <w:rFonts w:eastAsiaTheme="minorEastAsia"/>
          <w:lang w:eastAsia="en-US"/>
        </w:rPr>
        <w:t xml:space="preserve"> </w:t>
      </w:r>
      <w:r w:rsidR="001545F3" w:rsidRPr="00C30863">
        <w:rPr>
          <w:rFonts w:eastAsiaTheme="minorEastAsia"/>
          <w:lang w:eastAsia="en-US"/>
        </w:rPr>
        <w:t>з метою</w:t>
      </w:r>
      <w:r w:rsidR="002A2C07">
        <w:rPr>
          <w:rFonts w:eastAsiaTheme="minorEastAsia"/>
          <w:lang w:eastAsia="en-US"/>
        </w:rPr>
        <w:t xml:space="preserve"> встановлення</w:t>
      </w:r>
      <w:r w:rsidR="004648CC" w:rsidRPr="00C30863">
        <w:rPr>
          <w:rFonts w:eastAsiaTheme="minorEastAsia"/>
          <w:lang w:eastAsia="en-US"/>
        </w:rPr>
        <w:t xml:space="preserve"> </w:t>
      </w:r>
      <w:r w:rsidR="00166382">
        <w:rPr>
          <w:rFonts w:eastAsiaTheme="minorEastAsia"/>
          <w:lang w:eastAsia="en-US"/>
        </w:rPr>
        <w:t>критерії</w:t>
      </w:r>
      <w:r w:rsidR="002A2C07">
        <w:rPr>
          <w:rFonts w:eastAsiaTheme="minorEastAsia"/>
          <w:lang w:eastAsia="en-US"/>
        </w:rPr>
        <w:t>в, за якими</w:t>
      </w:r>
      <w:r w:rsidR="004648CC" w:rsidRPr="00C30863">
        <w:rPr>
          <w:rFonts w:eastAsiaTheme="minorEastAsia"/>
          <w:lang w:eastAsia="en-US"/>
        </w:rPr>
        <w:t xml:space="preserve"> </w:t>
      </w:r>
      <w:r w:rsidR="001545F3" w:rsidRPr="00C30863">
        <w:rPr>
          <w:rFonts w:eastAsiaTheme="minorEastAsia"/>
          <w:lang w:eastAsia="en-US"/>
        </w:rPr>
        <w:t>визнач</w:t>
      </w:r>
      <w:r w:rsidR="002A2C07">
        <w:rPr>
          <w:rFonts w:eastAsiaTheme="minorEastAsia"/>
          <w:lang w:eastAsia="en-US"/>
        </w:rPr>
        <w:t>ається</w:t>
      </w:r>
      <w:r w:rsidR="001545F3" w:rsidRPr="00C30863">
        <w:rPr>
          <w:rFonts w:eastAsiaTheme="minorEastAsia"/>
          <w:lang w:eastAsia="en-US"/>
        </w:rPr>
        <w:t xml:space="preserve"> </w:t>
      </w:r>
      <w:r w:rsidR="002A2C07">
        <w:rPr>
          <w:rFonts w:eastAsiaTheme="minorEastAsia"/>
          <w:lang w:eastAsia="en-US"/>
        </w:rPr>
        <w:t>значимість</w:t>
      </w:r>
      <w:r w:rsidR="001545F3" w:rsidRPr="00C30863">
        <w:rPr>
          <w:rFonts w:eastAsiaTheme="minorEastAsia"/>
          <w:lang w:eastAsia="en-US"/>
        </w:rPr>
        <w:t xml:space="preserve"> фінансових компаній,</w:t>
      </w:r>
      <w:r w:rsidR="00D63E7F" w:rsidRPr="00C30863">
        <w:rPr>
          <w:rFonts w:eastAsiaTheme="minorEastAsia"/>
          <w:lang w:eastAsia="en-US"/>
        </w:rPr>
        <w:t xml:space="preserve"> </w:t>
      </w:r>
      <w:r w:rsidR="00D63E7F" w:rsidRPr="00C30863">
        <w:rPr>
          <w:shd w:val="clear" w:color="auto" w:fill="FFFFFF"/>
        </w:rPr>
        <w:t xml:space="preserve">державне регулювання та нагляд за діяльністю яких здійснює </w:t>
      </w:r>
      <w:r w:rsidR="00410EC0" w:rsidRPr="00C30863">
        <w:t>Національн</w:t>
      </w:r>
      <w:r w:rsidR="00D63E7F" w:rsidRPr="00C30863">
        <w:t>ий</w:t>
      </w:r>
      <w:r w:rsidR="00410EC0" w:rsidRPr="00C30863">
        <w:t xml:space="preserve"> банк України</w:t>
      </w:r>
      <w:r w:rsidR="00C303A2" w:rsidRPr="00C30863">
        <w:t>,</w:t>
      </w:r>
      <w:r w:rsidR="00AA5088" w:rsidRPr="00F95C58">
        <w:rPr>
          <w:rFonts w:eastAsiaTheme="minorEastAsia"/>
          <w:lang w:eastAsia="en-US"/>
        </w:rPr>
        <w:t xml:space="preserve"> </w:t>
      </w:r>
      <w:r w:rsidR="006F4CE5" w:rsidRPr="00F95C58">
        <w:t>Правління Національного банку України</w:t>
      </w:r>
      <w:r w:rsidR="00410EC0" w:rsidRPr="00F95C58">
        <w:rPr>
          <w:b/>
        </w:rPr>
        <w:t xml:space="preserve"> постановляє:</w:t>
      </w:r>
    </w:p>
    <w:p w14:paraId="06898700" w14:textId="1A5F9C7D" w:rsidR="008E5F29" w:rsidRPr="00FE2F52" w:rsidRDefault="00410EC0" w:rsidP="00C1431B">
      <w:pPr>
        <w:spacing w:before="240" w:after="240"/>
        <w:ind w:firstLine="567"/>
        <w:rPr>
          <w:rFonts w:eastAsiaTheme="minorEastAsia"/>
          <w:noProof/>
          <w:lang w:val="ru-RU" w:eastAsia="en-US"/>
        </w:rPr>
      </w:pPr>
      <w:r w:rsidRPr="00C30863">
        <w:t>1.</w:t>
      </w:r>
      <w:r w:rsidRPr="00C30863">
        <w:rPr>
          <w:lang w:val="en-US"/>
        </w:rPr>
        <w:t> </w:t>
      </w:r>
      <w:r w:rsidR="00D476AD" w:rsidRPr="00C30863">
        <w:rPr>
          <w:rFonts w:eastAsiaTheme="minorEastAsia"/>
          <w:noProof/>
          <w:lang w:eastAsia="en-US"/>
        </w:rPr>
        <w:t>Затвердити</w:t>
      </w:r>
      <w:r w:rsidR="00766FB8" w:rsidRPr="00C30863">
        <w:rPr>
          <w:rFonts w:eastAsiaTheme="minorEastAsia"/>
          <w:noProof/>
          <w:lang w:eastAsia="en-US"/>
        </w:rPr>
        <w:t xml:space="preserve"> </w:t>
      </w:r>
      <w:r w:rsidR="00AA5088" w:rsidRPr="00C30863">
        <w:rPr>
          <w:rFonts w:eastAsiaTheme="minorEastAsia"/>
          <w:lang w:eastAsia="en-US"/>
        </w:rPr>
        <w:t>Положення про</w:t>
      </w:r>
      <w:r w:rsidR="004648CC" w:rsidRPr="00C30863">
        <w:rPr>
          <w:rFonts w:eastAsiaTheme="minorEastAsia"/>
          <w:lang w:eastAsia="en-US"/>
        </w:rPr>
        <w:t xml:space="preserve"> критерії</w:t>
      </w:r>
      <w:r w:rsidR="002A2C07">
        <w:rPr>
          <w:rFonts w:eastAsiaTheme="minorEastAsia"/>
          <w:lang w:eastAsia="en-US"/>
        </w:rPr>
        <w:t>, за якими</w:t>
      </w:r>
      <w:r w:rsidR="004648CC" w:rsidRPr="00C30863">
        <w:rPr>
          <w:rFonts w:eastAsiaTheme="minorEastAsia"/>
          <w:lang w:eastAsia="en-US"/>
        </w:rPr>
        <w:t xml:space="preserve"> </w:t>
      </w:r>
      <w:r w:rsidR="00AA5088" w:rsidRPr="00C30863">
        <w:rPr>
          <w:rFonts w:eastAsiaTheme="minorEastAsia"/>
          <w:lang w:eastAsia="en-US"/>
        </w:rPr>
        <w:t>визнач</w:t>
      </w:r>
      <w:r w:rsidR="002A2C07">
        <w:rPr>
          <w:rFonts w:eastAsiaTheme="minorEastAsia"/>
          <w:lang w:eastAsia="en-US"/>
        </w:rPr>
        <w:t>ається значимість</w:t>
      </w:r>
      <w:r w:rsidR="004A26C5" w:rsidRPr="00C30863">
        <w:rPr>
          <w:rFonts w:eastAsiaTheme="minorEastAsia"/>
          <w:lang w:eastAsia="en-US"/>
        </w:rPr>
        <w:t xml:space="preserve"> фінансов</w:t>
      </w:r>
      <w:r w:rsidR="002A2C07">
        <w:rPr>
          <w:rFonts w:eastAsiaTheme="minorEastAsia"/>
          <w:lang w:eastAsia="en-US"/>
        </w:rPr>
        <w:t>ої</w:t>
      </w:r>
      <w:r w:rsidR="004A26C5" w:rsidRPr="00C30863">
        <w:rPr>
          <w:rFonts w:eastAsiaTheme="minorEastAsia"/>
          <w:lang w:eastAsia="en-US"/>
        </w:rPr>
        <w:t xml:space="preserve"> компані</w:t>
      </w:r>
      <w:r w:rsidR="002A2C07">
        <w:rPr>
          <w:rFonts w:eastAsiaTheme="minorEastAsia"/>
          <w:lang w:eastAsia="en-US"/>
        </w:rPr>
        <w:t>ї</w:t>
      </w:r>
      <w:r w:rsidR="00766FB8" w:rsidRPr="00FE2F52">
        <w:rPr>
          <w:rFonts w:eastAsiaTheme="minorEastAsia"/>
          <w:noProof/>
          <w:lang w:eastAsia="en-US"/>
        </w:rPr>
        <w:t>, що додається.</w:t>
      </w:r>
    </w:p>
    <w:p w14:paraId="68A39180" w14:textId="51BAA60C" w:rsidR="004D08D8" w:rsidRPr="00D03B8F" w:rsidRDefault="001414E1" w:rsidP="00C1431B">
      <w:pPr>
        <w:pStyle w:val="af3"/>
        <w:numPr>
          <w:ilvl w:val="0"/>
          <w:numId w:val="5"/>
        </w:numPr>
        <w:ind w:left="0" w:firstLine="567"/>
        <w:rPr>
          <w:rFonts w:eastAsiaTheme="minorEastAsia"/>
          <w:noProof/>
          <w:lang w:eastAsia="en-US"/>
        </w:rPr>
      </w:pPr>
      <w:r w:rsidRPr="00D03B8F">
        <w:rPr>
          <w:lang w:val="en-US"/>
        </w:rPr>
        <w:t> </w:t>
      </w:r>
      <w:r w:rsidR="004D08D8" w:rsidRPr="00D03B8F">
        <w:rPr>
          <w:rFonts w:eastAsiaTheme="minorEastAsia"/>
          <w:noProof/>
          <w:lang w:eastAsia="en-US"/>
        </w:rPr>
        <w:t>Департаменту методології регулювання діяльності небанківських фінансових установ (Сергій Савчук) довести до відома фінансових компаній</w:t>
      </w:r>
      <w:r w:rsidR="005B1946" w:rsidRPr="00D03B8F">
        <w:rPr>
          <w:rFonts w:eastAsiaTheme="minorEastAsia"/>
          <w:noProof/>
          <w:lang w:eastAsia="en-US"/>
        </w:rPr>
        <w:t xml:space="preserve"> </w:t>
      </w:r>
      <w:r w:rsidR="004D08D8" w:rsidRPr="00D03B8F">
        <w:rPr>
          <w:rFonts w:eastAsiaTheme="minorEastAsia"/>
          <w:noProof/>
          <w:lang w:eastAsia="en-US"/>
        </w:rPr>
        <w:t>інформацію про прийняття цієї постанови.</w:t>
      </w:r>
    </w:p>
    <w:p w14:paraId="3588BE15" w14:textId="77777777" w:rsidR="006B34DE" w:rsidRPr="00C30863" w:rsidRDefault="006B34DE" w:rsidP="00C1431B">
      <w:pPr>
        <w:pStyle w:val="af3"/>
        <w:ind w:left="0" w:firstLine="567"/>
        <w:rPr>
          <w:rFonts w:eastAsiaTheme="minorEastAsia"/>
        </w:rPr>
      </w:pPr>
    </w:p>
    <w:p w14:paraId="6E6454EF" w14:textId="0BB96B45" w:rsidR="00410EC0" w:rsidRPr="00C30863" w:rsidRDefault="001414E1" w:rsidP="00C1431B">
      <w:pPr>
        <w:pStyle w:val="af3"/>
        <w:numPr>
          <w:ilvl w:val="0"/>
          <w:numId w:val="5"/>
        </w:numPr>
        <w:ind w:left="0" w:firstLine="567"/>
        <w:rPr>
          <w:rFonts w:eastAsiaTheme="minorEastAsia"/>
          <w:noProof/>
          <w:lang w:eastAsia="en-US"/>
        </w:rPr>
      </w:pPr>
      <w:r w:rsidRPr="00C30863">
        <w:rPr>
          <w:lang w:val="en-US"/>
        </w:rPr>
        <w:t> </w:t>
      </w:r>
      <w:r w:rsidR="00AF0CC8" w:rsidRPr="00C30863">
        <w:rPr>
          <w:rFonts w:eastAsiaTheme="minorEastAsia"/>
          <w:noProof/>
          <w:lang w:eastAsia="en-US"/>
        </w:rPr>
        <w:t xml:space="preserve">Постанова набирає чинності з </w:t>
      </w:r>
      <w:r w:rsidR="006D2DD4" w:rsidRPr="00C30863">
        <w:rPr>
          <w:rFonts w:eastAsiaTheme="minorEastAsia"/>
          <w:noProof/>
          <w:lang w:eastAsia="en-US"/>
        </w:rPr>
        <w:t xml:space="preserve">01 </w:t>
      </w:r>
      <w:r w:rsidR="00AA5088" w:rsidRPr="00C30863">
        <w:rPr>
          <w:rFonts w:eastAsiaTheme="minorEastAsia"/>
          <w:noProof/>
          <w:lang w:eastAsia="en-US"/>
        </w:rPr>
        <w:t>вересня</w:t>
      </w:r>
      <w:r w:rsidR="006D2DD4" w:rsidRPr="00C30863">
        <w:rPr>
          <w:rFonts w:eastAsiaTheme="minorEastAsia"/>
          <w:noProof/>
          <w:lang w:eastAsia="en-US"/>
        </w:rPr>
        <w:t xml:space="preserve"> 2025 року</w:t>
      </w:r>
      <w:r w:rsidR="00AF0CC8" w:rsidRPr="00C30863">
        <w:rPr>
          <w:rFonts w:eastAsiaTheme="minorEastAsia"/>
          <w:noProof/>
          <w:lang w:eastAsia="en-US"/>
        </w:rPr>
        <w:t>.</w:t>
      </w:r>
    </w:p>
    <w:p w14:paraId="6DA0F641" w14:textId="77777777" w:rsidR="00410EC0" w:rsidRPr="00C30863" w:rsidRDefault="00410EC0" w:rsidP="00410EC0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20132C" w:rsidRPr="00C30863" w14:paraId="314CDFF8" w14:textId="77777777" w:rsidTr="00776003">
        <w:tc>
          <w:tcPr>
            <w:tcW w:w="5387" w:type="dxa"/>
            <w:vAlign w:val="bottom"/>
          </w:tcPr>
          <w:p w14:paraId="53141C6A" w14:textId="77777777" w:rsidR="00410EC0" w:rsidRPr="00C30863" w:rsidRDefault="004140A3" w:rsidP="004140A3">
            <w:pPr>
              <w:autoSpaceDE w:val="0"/>
              <w:autoSpaceDN w:val="0"/>
              <w:ind w:left="-111"/>
              <w:jc w:val="left"/>
            </w:pPr>
            <w:r w:rsidRPr="00C30863">
              <w:t>Голова</w:t>
            </w:r>
          </w:p>
        </w:tc>
        <w:tc>
          <w:tcPr>
            <w:tcW w:w="4252" w:type="dxa"/>
            <w:vAlign w:val="bottom"/>
          </w:tcPr>
          <w:p w14:paraId="4592F1A3" w14:textId="77777777" w:rsidR="00410EC0" w:rsidRPr="00F95C58" w:rsidRDefault="004140A3" w:rsidP="0077600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F95C58">
              <w:t>Андрій ПИШНИЙ</w:t>
            </w:r>
          </w:p>
        </w:tc>
      </w:tr>
    </w:tbl>
    <w:p w14:paraId="3DE3267B" w14:textId="77777777" w:rsidR="00410EC0" w:rsidRPr="00C30863" w:rsidRDefault="00410EC0" w:rsidP="00410EC0"/>
    <w:p w14:paraId="4E48201D" w14:textId="77777777" w:rsidR="00410EC0" w:rsidRPr="00C30863" w:rsidRDefault="00410EC0" w:rsidP="00410EC0">
      <w:pPr>
        <w:jc w:val="left"/>
      </w:pPr>
      <w:r w:rsidRPr="00C30863">
        <w:t>Інд.</w:t>
      </w:r>
      <w:r w:rsidRPr="00C30863">
        <w:rPr>
          <w:sz w:val="22"/>
          <w:szCs w:val="22"/>
        </w:rPr>
        <w:t xml:space="preserve"> </w:t>
      </w:r>
      <w:r w:rsidR="004140A3" w:rsidRPr="00C30863">
        <w:t>33</w:t>
      </w:r>
    </w:p>
    <w:p w14:paraId="4004D3CC" w14:textId="77777777" w:rsidR="00410EC0" w:rsidRPr="002D5521" w:rsidRDefault="00410EC0" w:rsidP="00410EC0">
      <w:pPr>
        <w:ind w:firstLine="5670"/>
        <w:jc w:val="left"/>
        <w:sectPr w:rsidR="00410EC0" w:rsidRPr="002D5521" w:rsidSect="007760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tbl>
      <w:tblPr>
        <w:tblStyle w:val="21"/>
        <w:tblW w:w="10012" w:type="dxa"/>
        <w:tblLook w:val="0400" w:firstRow="0" w:lastRow="0" w:firstColumn="0" w:lastColumn="0" w:noHBand="0" w:noVBand="1"/>
      </w:tblPr>
      <w:tblGrid>
        <w:gridCol w:w="5695"/>
        <w:gridCol w:w="4317"/>
      </w:tblGrid>
      <w:tr w:rsidR="004140A3" w:rsidRPr="00C30863" w14:paraId="69282F40" w14:textId="77777777" w:rsidTr="008C7384">
        <w:trPr>
          <w:trHeight w:val="1013"/>
        </w:trPr>
        <w:tc>
          <w:tcPr>
            <w:tcW w:w="5695" w:type="dxa"/>
            <w:shd w:val="clear" w:color="auto" w:fill="auto"/>
          </w:tcPr>
          <w:p w14:paraId="143E1C18" w14:textId="77777777" w:rsidR="004140A3" w:rsidRPr="00C30863" w:rsidRDefault="004140A3" w:rsidP="00776003">
            <w:pPr>
              <w:rPr>
                <w:rFonts w:eastAsia="Calibri"/>
              </w:rPr>
            </w:pPr>
          </w:p>
        </w:tc>
        <w:tc>
          <w:tcPr>
            <w:tcW w:w="4317" w:type="dxa"/>
            <w:shd w:val="clear" w:color="auto" w:fill="auto"/>
          </w:tcPr>
          <w:p w14:paraId="2DC8762C" w14:textId="77777777" w:rsidR="004140A3" w:rsidRPr="00C30863" w:rsidRDefault="004140A3" w:rsidP="00776003">
            <w:pPr>
              <w:widowControl w:val="0"/>
              <w:ind w:left="271" w:firstLine="0"/>
            </w:pPr>
            <w:r w:rsidRPr="00C30863">
              <w:rPr>
                <w:rFonts w:eastAsia="Calibri"/>
              </w:rPr>
              <w:t>ЗАТВЕРДЖЕНО</w:t>
            </w:r>
          </w:p>
          <w:p w14:paraId="7E6A4B53" w14:textId="77777777" w:rsidR="004140A3" w:rsidRPr="00C30863" w:rsidRDefault="004140A3" w:rsidP="00776003">
            <w:pPr>
              <w:ind w:left="271" w:firstLine="0"/>
            </w:pPr>
            <w:r w:rsidRPr="00C30863">
              <w:rPr>
                <w:rFonts w:eastAsia="Calibri"/>
              </w:rPr>
              <w:t>Постанова Правління</w:t>
            </w:r>
          </w:p>
          <w:p w14:paraId="07D09D7B" w14:textId="77777777" w:rsidR="004140A3" w:rsidRPr="00F95C58" w:rsidRDefault="004140A3" w:rsidP="00776003">
            <w:pPr>
              <w:ind w:left="271" w:firstLine="0"/>
              <w:rPr>
                <w:rFonts w:eastAsia="Calibri"/>
              </w:rPr>
            </w:pPr>
            <w:r w:rsidRPr="00F95C58">
              <w:rPr>
                <w:rFonts w:eastAsia="Calibri"/>
              </w:rPr>
              <w:t>Національного банку України</w:t>
            </w:r>
          </w:p>
          <w:p w14:paraId="4ED8AB15" w14:textId="251FE363" w:rsidR="00AE0465" w:rsidRPr="00FE2F52" w:rsidRDefault="001F46C4" w:rsidP="001F46C4">
            <w:pPr>
              <w:ind w:left="271" w:firstLine="0"/>
            </w:pPr>
            <w:r w:rsidRPr="00F95C58">
              <w:rPr>
                <w:rFonts w:eastAsia="Calibri"/>
                <w:color w:val="FFFFFF" w:themeColor="background1"/>
              </w:rPr>
              <w:t>_</w:t>
            </w:r>
            <w:r w:rsidR="00BF0896" w:rsidRPr="00F95C58">
              <w:rPr>
                <w:rFonts w:eastAsia="Calibri"/>
                <w:color w:val="FFFFFF" w:themeColor="background1"/>
              </w:rPr>
              <w:t xml:space="preserve"> </w:t>
            </w:r>
            <w:r w:rsidRPr="00FE2F52">
              <w:rPr>
                <w:rFonts w:eastAsia="Calibri"/>
                <w:color w:val="FFFFFF" w:themeColor="background1"/>
              </w:rPr>
              <w:t>_________</w:t>
            </w:r>
            <w:r w:rsidR="00BF0896" w:rsidRPr="00FE2F52">
              <w:rPr>
                <w:rFonts w:eastAsia="Calibri"/>
                <w:color w:val="FFFFFF" w:themeColor="background1"/>
              </w:rPr>
              <w:t>2024</w:t>
            </w:r>
            <w:r w:rsidR="009913CD" w:rsidRPr="00FE2F52">
              <w:rPr>
                <w:rFonts w:eastAsia="Calibri"/>
                <w:color w:val="FFFFFF" w:themeColor="background1"/>
              </w:rPr>
              <w:t xml:space="preserve"> року</w:t>
            </w:r>
            <w:r w:rsidR="00BF0896" w:rsidRPr="00FE2F52">
              <w:rPr>
                <w:rFonts w:eastAsia="Calibri"/>
                <w:color w:val="FFFFFF" w:themeColor="background1"/>
              </w:rPr>
              <w:t xml:space="preserve"> № </w:t>
            </w:r>
          </w:p>
        </w:tc>
      </w:tr>
    </w:tbl>
    <w:p w14:paraId="15F7B89B" w14:textId="77777777" w:rsidR="004140A3" w:rsidRPr="00C30863" w:rsidRDefault="004140A3" w:rsidP="004140A3">
      <w:pPr>
        <w:jc w:val="center"/>
        <w:rPr>
          <w:b/>
        </w:rPr>
      </w:pPr>
    </w:p>
    <w:p w14:paraId="3613E953" w14:textId="7697E00E" w:rsidR="004140A3" w:rsidRPr="00557E9C" w:rsidRDefault="002C3620" w:rsidP="00AA5088">
      <w:pPr>
        <w:tabs>
          <w:tab w:val="left" w:pos="1134"/>
        </w:tabs>
        <w:jc w:val="center"/>
        <w:rPr>
          <w:rFonts w:eastAsiaTheme="minorEastAsia"/>
          <w:lang w:eastAsia="en-US"/>
        </w:rPr>
      </w:pPr>
      <w:r w:rsidRPr="00557E9C">
        <w:t>Положення</w:t>
      </w:r>
      <w:r w:rsidRPr="00557E9C">
        <w:br/>
      </w:r>
      <w:r w:rsidR="00AA5088" w:rsidRPr="00557E9C">
        <w:rPr>
          <w:rFonts w:eastAsiaTheme="minorEastAsia"/>
          <w:lang w:eastAsia="en-US"/>
        </w:rPr>
        <w:t xml:space="preserve">про </w:t>
      </w:r>
      <w:r w:rsidR="004648CC" w:rsidRPr="00557E9C">
        <w:rPr>
          <w:rFonts w:eastAsiaTheme="minorEastAsia"/>
          <w:lang w:eastAsia="en-US"/>
        </w:rPr>
        <w:t>критері</w:t>
      </w:r>
      <w:r w:rsidR="00686B20" w:rsidRPr="00557E9C">
        <w:rPr>
          <w:rFonts w:eastAsiaTheme="minorEastAsia"/>
          <w:lang w:eastAsia="en-US"/>
        </w:rPr>
        <w:t>ї</w:t>
      </w:r>
      <w:r w:rsidR="002A2C07" w:rsidRPr="00557E9C">
        <w:rPr>
          <w:rFonts w:eastAsiaTheme="minorEastAsia"/>
          <w:lang w:eastAsia="en-US"/>
        </w:rPr>
        <w:t>, за якими</w:t>
      </w:r>
      <w:r w:rsidR="00686B20" w:rsidRPr="00557E9C">
        <w:rPr>
          <w:rFonts w:eastAsiaTheme="minorEastAsia"/>
          <w:lang w:eastAsia="en-US"/>
        </w:rPr>
        <w:t xml:space="preserve"> </w:t>
      </w:r>
      <w:r w:rsidR="00AA5088" w:rsidRPr="00557E9C">
        <w:rPr>
          <w:rFonts w:eastAsiaTheme="minorEastAsia"/>
          <w:lang w:eastAsia="en-US"/>
        </w:rPr>
        <w:t>визнач</w:t>
      </w:r>
      <w:r w:rsidR="004D4D9E" w:rsidRPr="00557E9C">
        <w:rPr>
          <w:rFonts w:eastAsiaTheme="minorEastAsia"/>
          <w:lang w:eastAsia="en-US"/>
        </w:rPr>
        <w:t>ається</w:t>
      </w:r>
      <w:r w:rsidR="00AA5088" w:rsidRPr="00557E9C">
        <w:rPr>
          <w:rFonts w:eastAsiaTheme="minorEastAsia"/>
          <w:lang w:eastAsia="en-US"/>
        </w:rPr>
        <w:t xml:space="preserve"> </w:t>
      </w:r>
      <w:r w:rsidR="004A26C5" w:rsidRPr="00557E9C">
        <w:rPr>
          <w:rFonts w:eastAsiaTheme="minorEastAsia"/>
          <w:lang w:eastAsia="en-US"/>
        </w:rPr>
        <w:t>значим</w:t>
      </w:r>
      <w:r w:rsidR="004D4D9E" w:rsidRPr="00557E9C">
        <w:rPr>
          <w:rFonts w:eastAsiaTheme="minorEastAsia"/>
          <w:lang w:eastAsia="en-US"/>
        </w:rPr>
        <w:t>ість</w:t>
      </w:r>
      <w:r w:rsidR="004A26C5" w:rsidRPr="00557E9C">
        <w:rPr>
          <w:rFonts w:eastAsiaTheme="minorEastAsia"/>
          <w:lang w:eastAsia="en-US"/>
        </w:rPr>
        <w:t xml:space="preserve"> фінансов</w:t>
      </w:r>
      <w:r w:rsidR="004D4D9E" w:rsidRPr="00557E9C">
        <w:rPr>
          <w:rFonts w:eastAsiaTheme="minorEastAsia"/>
          <w:lang w:eastAsia="en-US"/>
        </w:rPr>
        <w:t>ої</w:t>
      </w:r>
      <w:r w:rsidR="004A26C5" w:rsidRPr="00557E9C">
        <w:rPr>
          <w:rFonts w:eastAsiaTheme="minorEastAsia"/>
          <w:lang w:eastAsia="en-US"/>
        </w:rPr>
        <w:t xml:space="preserve"> компані</w:t>
      </w:r>
      <w:r w:rsidR="004D4D9E" w:rsidRPr="00557E9C">
        <w:rPr>
          <w:rFonts w:eastAsiaTheme="minorEastAsia"/>
          <w:lang w:eastAsia="en-US"/>
        </w:rPr>
        <w:t>ї</w:t>
      </w:r>
    </w:p>
    <w:p w14:paraId="01A3FC09" w14:textId="77777777" w:rsidR="00AA5088" w:rsidRPr="00557E9C" w:rsidRDefault="00AA5088" w:rsidP="00AA5088">
      <w:pPr>
        <w:tabs>
          <w:tab w:val="left" w:pos="1134"/>
        </w:tabs>
        <w:jc w:val="center"/>
        <w:rPr>
          <w:b/>
        </w:rPr>
      </w:pPr>
    </w:p>
    <w:p w14:paraId="50D93F82" w14:textId="4555E839" w:rsidR="001545F3" w:rsidRPr="00557E9C" w:rsidRDefault="008A01C9" w:rsidP="00C1431B">
      <w:pPr>
        <w:pStyle w:val="af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contextualSpacing w:val="0"/>
      </w:pPr>
      <w:r w:rsidRPr="00557E9C">
        <w:t xml:space="preserve">Це Положення розроблено відповідно до </w:t>
      </w:r>
      <w:r w:rsidR="00652077" w:rsidRPr="00557E9C">
        <w:t xml:space="preserve">Законів </w:t>
      </w:r>
      <w:r w:rsidRPr="00557E9C">
        <w:t>України “Про Національний банк України”</w:t>
      </w:r>
      <w:r w:rsidR="000B6BE1" w:rsidRPr="00557E9C">
        <w:t xml:space="preserve"> (далі</w:t>
      </w:r>
      <w:r w:rsidR="00CC06CE" w:rsidRPr="00557E9C">
        <w:t> – </w:t>
      </w:r>
      <w:hyperlink r:id="rId20" w:tgtFrame="_blank" w:history="1">
        <w:r w:rsidR="000B6BE1" w:rsidRPr="00557E9C">
          <w:t>Закон про Національний банк</w:t>
        </w:r>
      </w:hyperlink>
      <w:r w:rsidR="000B6BE1" w:rsidRPr="00557E9C">
        <w:t>)</w:t>
      </w:r>
      <w:r w:rsidRPr="00557E9C">
        <w:t>, “Про фінансові послуги та фінансові компанії” (далі</w:t>
      </w:r>
      <w:r w:rsidR="00177F47" w:rsidRPr="00557E9C">
        <w:t> </w:t>
      </w:r>
      <w:r w:rsidRPr="00557E9C">
        <w:t>–</w:t>
      </w:r>
      <w:r w:rsidR="00177F47" w:rsidRPr="00557E9C">
        <w:t> </w:t>
      </w:r>
      <w:r w:rsidRPr="00557E9C">
        <w:t>Закон про фінансові послуги)</w:t>
      </w:r>
      <w:r w:rsidR="004D4D9E" w:rsidRPr="00557E9C">
        <w:t>.</w:t>
      </w:r>
    </w:p>
    <w:p w14:paraId="39226FFA" w14:textId="77777777" w:rsidR="004140A3" w:rsidRPr="00557E9C" w:rsidRDefault="004140A3" w:rsidP="00C1431B">
      <w:pPr>
        <w:pStyle w:val="af3"/>
        <w:tabs>
          <w:tab w:val="left" w:pos="1134"/>
        </w:tabs>
        <w:ind w:left="0" w:firstLine="567"/>
        <w:contextualSpacing w:val="0"/>
      </w:pPr>
    </w:p>
    <w:p w14:paraId="614AA368" w14:textId="77777777" w:rsidR="00D86562" w:rsidRPr="00557E9C" w:rsidRDefault="00D86562" w:rsidP="00C1431B">
      <w:pPr>
        <w:pStyle w:val="af3"/>
        <w:numPr>
          <w:ilvl w:val="0"/>
          <w:numId w:val="1"/>
        </w:numPr>
        <w:tabs>
          <w:tab w:val="left" w:pos="567"/>
        </w:tabs>
        <w:ind w:left="0" w:firstLine="567"/>
      </w:pPr>
      <w:r w:rsidRPr="00557E9C">
        <w:t>Терміни в цьому Положенні вживаються в такому значенні:</w:t>
      </w:r>
    </w:p>
    <w:p w14:paraId="3CB61BEB" w14:textId="77777777" w:rsidR="00110315" w:rsidRPr="00557E9C" w:rsidRDefault="00110315" w:rsidP="00C1431B">
      <w:pPr>
        <w:pStyle w:val="af3"/>
        <w:tabs>
          <w:tab w:val="left" w:pos="1134"/>
        </w:tabs>
        <w:ind w:left="0" w:firstLine="567"/>
        <w:contextualSpacing w:val="0"/>
      </w:pPr>
    </w:p>
    <w:p w14:paraId="26D33F88" w14:textId="268AB235" w:rsidR="006B048D" w:rsidRPr="00557E9C" w:rsidRDefault="009B4126" w:rsidP="00C1431B">
      <w:pPr>
        <w:pStyle w:val="af3"/>
        <w:numPr>
          <w:ilvl w:val="0"/>
          <w:numId w:val="14"/>
        </w:numPr>
        <w:ind w:left="0" w:firstLine="567"/>
      </w:pPr>
      <w:r w:rsidRPr="00557E9C">
        <w:t>значима фінансова компанія</w:t>
      </w:r>
      <w:r w:rsidR="00D23BDC" w:rsidRPr="00557E9C">
        <w:t> – </w:t>
      </w:r>
      <w:r w:rsidRPr="00557E9C">
        <w:t>фінансова компанія, яку</w:t>
      </w:r>
      <w:r w:rsidR="004D4D9E" w:rsidRPr="00557E9C">
        <w:t xml:space="preserve"> визначено значимою</w:t>
      </w:r>
      <w:r w:rsidRPr="00557E9C">
        <w:t xml:space="preserve"> </w:t>
      </w:r>
      <w:r w:rsidR="008924A6" w:rsidRPr="00557E9C">
        <w:t xml:space="preserve">Національним банком </w:t>
      </w:r>
      <w:r w:rsidR="004D4D9E" w:rsidRPr="00557E9C">
        <w:t xml:space="preserve">України </w:t>
      </w:r>
      <w:r w:rsidR="004D4D9E" w:rsidRPr="00557E9C">
        <w:rPr>
          <w:rFonts w:eastAsiaTheme="minorEastAsia"/>
          <w:lang w:eastAsia="en-US"/>
        </w:rPr>
        <w:t>(далі</w:t>
      </w:r>
      <w:r w:rsidR="004D4D9E" w:rsidRPr="00557E9C">
        <w:t> – </w:t>
      </w:r>
      <w:r w:rsidR="004D4D9E" w:rsidRPr="00557E9C">
        <w:rPr>
          <w:rFonts w:eastAsiaTheme="minorEastAsia"/>
          <w:lang w:eastAsia="en-US"/>
        </w:rPr>
        <w:t xml:space="preserve">Національний банк), </w:t>
      </w:r>
      <w:r w:rsidRPr="00557E9C">
        <w:t>на підставі критеріїв</w:t>
      </w:r>
      <w:r w:rsidR="00CD7D69" w:rsidRPr="00557E9C">
        <w:t>,</w:t>
      </w:r>
      <w:r w:rsidR="004D4D9E" w:rsidRPr="00557E9C">
        <w:t xml:space="preserve"> за якими визначається значимість фінансової компанії,</w:t>
      </w:r>
      <w:r w:rsidR="00CD7D69" w:rsidRPr="00557E9C">
        <w:t xml:space="preserve"> встановлених у цьому Положенні</w:t>
      </w:r>
      <w:r w:rsidR="004D4D9E" w:rsidRPr="00557E9C">
        <w:t xml:space="preserve"> (далі – критерії)</w:t>
      </w:r>
      <w:r w:rsidR="00D86562" w:rsidRPr="00557E9C">
        <w:t>;</w:t>
      </w:r>
    </w:p>
    <w:p w14:paraId="645BD2E7" w14:textId="77777777" w:rsidR="006B048D" w:rsidRPr="00557E9C" w:rsidRDefault="006B048D" w:rsidP="00C1431B">
      <w:pPr>
        <w:pStyle w:val="af3"/>
        <w:ind w:left="0" w:firstLine="567"/>
        <w:contextualSpacing w:val="0"/>
      </w:pPr>
    </w:p>
    <w:p w14:paraId="01E34E84" w14:textId="2C97A248" w:rsidR="004D4D9E" w:rsidRPr="00557E9C" w:rsidRDefault="004D4D9E" w:rsidP="00C1431B">
      <w:pPr>
        <w:pStyle w:val="af3"/>
        <w:numPr>
          <w:ilvl w:val="0"/>
          <w:numId w:val="14"/>
        </w:numPr>
        <w:ind w:left="0" w:firstLine="567"/>
      </w:pPr>
      <w:r w:rsidRPr="00557E9C">
        <w:t>керівник із ліцензування – керівник структурного підрозділу Національного банку, відповідального за ліцензування надавачів фінансових послуг, його заступник, керівник підрозділу в складі зазначеного структурного підрозділу Національного банку, його заступник або особи, які виконують їхні обов’язки;</w:t>
      </w:r>
    </w:p>
    <w:p w14:paraId="50396C03" w14:textId="30031DC6" w:rsidR="004D4D9E" w:rsidRPr="00557E9C" w:rsidRDefault="004D4D9E" w:rsidP="00C1431B">
      <w:pPr>
        <w:ind w:firstLine="567"/>
      </w:pPr>
    </w:p>
    <w:p w14:paraId="46B7C80C" w14:textId="181BFBA6" w:rsidR="006B048D" w:rsidRPr="00557E9C" w:rsidRDefault="006B048D" w:rsidP="00C1431B">
      <w:pPr>
        <w:pStyle w:val="af3"/>
        <w:numPr>
          <w:ilvl w:val="0"/>
          <w:numId w:val="14"/>
        </w:numPr>
        <w:ind w:left="0" w:firstLine="567"/>
      </w:pPr>
      <w:r w:rsidRPr="00557E9C">
        <w:t>уповноважена особа Національного банку – Голова Національного банку, перший заступник Голови Національного банку, заступник Голови Національного банку, керівник із ліцензування.</w:t>
      </w:r>
    </w:p>
    <w:p w14:paraId="50213D14" w14:textId="31E36416" w:rsidR="00557E9C" w:rsidRPr="00557E9C" w:rsidRDefault="006B048D" w:rsidP="00C1431B">
      <w:pPr>
        <w:tabs>
          <w:tab w:val="left" w:pos="1134"/>
        </w:tabs>
        <w:ind w:firstLine="567"/>
      </w:pPr>
      <w:r w:rsidRPr="00557E9C">
        <w:t>Інші терміни, що використовуються в цьому Положенні, уживаються в значеннях, визначених </w:t>
      </w:r>
      <w:hyperlink r:id="rId21" w:tgtFrame="_blank" w:history="1">
        <w:r w:rsidRPr="00557E9C">
          <w:t>Законом про Національний банк</w:t>
        </w:r>
      </w:hyperlink>
      <w:r w:rsidRPr="00557E9C">
        <w:t>, </w:t>
      </w:r>
      <w:hyperlink r:id="rId22" w:tgtFrame="_blank" w:history="1">
        <w:r w:rsidRPr="00557E9C">
          <w:t>Законом про фінансові послуги</w:t>
        </w:r>
      </w:hyperlink>
      <w:r w:rsidRPr="00557E9C">
        <w:t>.</w:t>
      </w:r>
    </w:p>
    <w:p w14:paraId="5CB9F96E" w14:textId="77777777" w:rsidR="00557E9C" w:rsidRPr="00557E9C" w:rsidRDefault="00557E9C" w:rsidP="00C1431B">
      <w:pPr>
        <w:tabs>
          <w:tab w:val="left" w:pos="1134"/>
        </w:tabs>
        <w:ind w:firstLine="567"/>
      </w:pPr>
    </w:p>
    <w:p w14:paraId="0DFBCF71" w14:textId="251E9D12" w:rsidR="004648CC" w:rsidRPr="00557E9C" w:rsidRDefault="004648CC" w:rsidP="00C1431B">
      <w:pPr>
        <w:pStyle w:val="af3"/>
        <w:numPr>
          <w:ilvl w:val="0"/>
          <w:numId w:val="19"/>
        </w:numPr>
        <w:ind w:left="0" w:firstLine="567"/>
      </w:pPr>
      <w:r w:rsidRPr="00557E9C">
        <w:t>Ц</w:t>
      </w:r>
      <w:r w:rsidR="004D4D9E" w:rsidRPr="00557E9C">
        <w:t>е</w:t>
      </w:r>
      <w:r w:rsidRPr="00557E9C">
        <w:t xml:space="preserve"> Положення </w:t>
      </w:r>
      <w:r w:rsidR="004D4D9E" w:rsidRPr="00557E9C">
        <w:t xml:space="preserve">встановлює </w:t>
      </w:r>
      <w:r w:rsidRPr="00557E9C">
        <w:t>критерії</w:t>
      </w:r>
      <w:r w:rsidR="005E5043" w:rsidRPr="00557E9C">
        <w:t xml:space="preserve">, </w:t>
      </w:r>
      <w:r w:rsidR="00B510F3" w:rsidRPr="00557E9C">
        <w:t xml:space="preserve">на підставі </w:t>
      </w:r>
      <w:r w:rsidR="005E5043" w:rsidRPr="00557E9C">
        <w:t>яки</w:t>
      </w:r>
      <w:r w:rsidR="00B510F3" w:rsidRPr="00557E9C">
        <w:t>х</w:t>
      </w:r>
      <w:r w:rsidRPr="00557E9C">
        <w:t xml:space="preserve"> </w:t>
      </w:r>
      <w:r w:rsidRPr="00C1431B">
        <w:rPr>
          <w:rFonts w:eastAsiaTheme="minorEastAsia"/>
          <w:lang w:eastAsia="en-US"/>
        </w:rPr>
        <w:t>Національни</w:t>
      </w:r>
      <w:r w:rsidR="005E5043" w:rsidRPr="00C1431B">
        <w:rPr>
          <w:rFonts w:eastAsiaTheme="minorEastAsia"/>
          <w:lang w:eastAsia="en-US"/>
        </w:rPr>
        <w:t>й</w:t>
      </w:r>
      <w:r w:rsidRPr="00C1431B">
        <w:rPr>
          <w:rFonts w:eastAsiaTheme="minorEastAsia"/>
          <w:lang w:eastAsia="en-US"/>
        </w:rPr>
        <w:t xml:space="preserve"> банк</w:t>
      </w:r>
      <w:r w:rsidR="005E5043" w:rsidRPr="00C1431B">
        <w:rPr>
          <w:rFonts w:eastAsiaTheme="minorEastAsia"/>
          <w:lang w:eastAsia="en-US"/>
        </w:rPr>
        <w:t xml:space="preserve"> визначає фінансов</w:t>
      </w:r>
      <w:r w:rsidR="00557E9C" w:rsidRPr="00C1431B">
        <w:rPr>
          <w:rFonts w:eastAsiaTheme="minorEastAsia"/>
          <w:lang w:eastAsia="en-US"/>
        </w:rPr>
        <w:t>у</w:t>
      </w:r>
      <w:r w:rsidR="005E5043" w:rsidRPr="00C1431B">
        <w:rPr>
          <w:rFonts w:eastAsiaTheme="minorEastAsia"/>
          <w:lang w:eastAsia="en-US"/>
        </w:rPr>
        <w:t xml:space="preserve"> компані</w:t>
      </w:r>
      <w:r w:rsidR="00557E9C" w:rsidRPr="00C1431B">
        <w:rPr>
          <w:rFonts w:eastAsiaTheme="minorEastAsia"/>
          <w:lang w:eastAsia="en-US"/>
        </w:rPr>
        <w:t>ю</w:t>
      </w:r>
      <w:r w:rsidRPr="00C1431B">
        <w:rPr>
          <w:rFonts w:eastAsiaTheme="minorEastAsia"/>
          <w:lang w:eastAsia="en-US"/>
        </w:rPr>
        <w:t>,</w:t>
      </w:r>
      <w:r w:rsidR="00B51A64" w:rsidRPr="00C1431B">
        <w:rPr>
          <w:rFonts w:eastAsiaTheme="minorEastAsia"/>
          <w:lang w:eastAsia="en-US"/>
        </w:rPr>
        <w:t xml:space="preserve"> </w:t>
      </w:r>
      <w:r w:rsidR="00B51A64" w:rsidRPr="00C1431B">
        <w:rPr>
          <w:shd w:val="clear" w:color="auto" w:fill="FFFFFF"/>
        </w:rPr>
        <w:t>державне регулювання та нагляд за діяльністю як</w:t>
      </w:r>
      <w:r w:rsidR="00557E9C" w:rsidRPr="00C1431B">
        <w:rPr>
          <w:shd w:val="clear" w:color="auto" w:fill="FFFFFF"/>
        </w:rPr>
        <w:t>ої</w:t>
      </w:r>
      <w:r w:rsidR="00B51A64" w:rsidRPr="00C1431B">
        <w:rPr>
          <w:shd w:val="clear" w:color="auto" w:fill="FFFFFF"/>
        </w:rPr>
        <w:t xml:space="preserve"> здійснює Національний банк</w:t>
      </w:r>
      <w:r w:rsidRPr="00C1431B">
        <w:rPr>
          <w:rFonts w:eastAsiaTheme="minorEastAsia"/>
          <w:lang w:eastAsia="en-US"/>
        </w:rPr>
        <w:t xml:space="preserve"> </w:t>
      </w:r>
      <w:r w:rsidRPr="00C1431B">
        <w:rPr>
          <w:rFonts w:eastAsiaTheme="minorEastAsia"/>
          <w:color w:val="000000" w:themeColor="text1"/>
          <w:lang w:eastAsia="en-US"/>
        </w:rPr>
        <w:t>(далі</w:t>
      </w:r>
      <w:r w:rsidR="005E5043" w:rsidRPr="00557E9C">
        <w:t> – </w:t>
      </w:r>
      <w:r w:rsidRPr="00C1431B">
        <w:rPr>
          <w:rFonts w:eastAsiaTheme="minorEastAsia"/>
          <w:color w:val="000000" w:themeColor="text1"/>
          <w:lang w:eastAsia="en-US"/>
        </w:rPr>
        <w:t>фінансова компанія)</w:t>
      </w:r>
      <w:r w:rsidRPr="00C1431B">
        <w:rPr>
          <w:rFonts w:eastAsiaTheme="minorEastAsia"/>
          <w:lang w:eastAsia="en-US"/>
        </w:rPr>
        <w:t xml:space="preserve"> значимою</w:t>
      </w:r>
      <w:r w:rsidRPr="00557E9C">
        <w:t>.</w:t>
      </w:r>
    </w:p>
    <w:p w14:paraId="3CCB3E0B" w14:textId="77777777" w:rsidR="00E27B4B" w:rsidRPr="00557E9C" w:rsidRDefault="00E27B4B" w:rsidP="00C1431B">
      <w:pPr>
        <w:pStyle w:val="af3"/>
        <w:tabs>
          <w:tab w:val="left" w:pos="567"/>
        </w:tabs>
        <w:ind w:left="0" w:firstLine="567"/>
        <w:contextualSpacing w:val="0"/>
      </w:pPr>
    </w:p>
    <w:p w14:paraId="098B4BC6" w14:textId="339B1BAF" w:rsidR="008043D4" w:rsidRPr="00F85C0E" w:rsidRDefault="00D3465D" w:rsidP="00C1431B">
      <w:pPr>
        <w:pStyle w:val="af3"/>
        <w:numPr>
          <w:ilvl w:val="0"/>
          <w:numId w:val="19"/>
        </w:numPr>
        <w:ind w:left="0" w:firstLine="567"/>
      </w:pPr>
      <w:r w:rsidRPr="00557E9C">
        <w:t xml:space="preserve">Національний банк </w:t>
      </w:r>
      <w:r w:rsidR="00B45718" w:rsidRPr="00557E9C">
        <w:t xml:space="preserve">визначає </w:t>
      </w:r>
      <w:r w:rsidR="00E27B4B" w:rsidRPr="00557E9C">
        <w:t xml:space="preserve">фінансову компанію </w:t>
      </w:r>
      <w:r w:rsidR="00B45718" w:rsidRPr="00557E9C">
        <w:t>значимою</w:t>
      </w:r>
      <w:r w:rsidR="00F43857" w:rsidRPr="00557E9C">
        <w:t>, якщо така фінансова компанія відповідає</w:t>
      </w:r>
      <w:r w:rsidRPr="00557E9C">
        <w:t xml:space="preserve"> </w:t>
      </w:r>
      <w:r w:rsidR="000E39E1" w:rsidRPr="00557E9C">
        <w:t>принаймні одно</w:t>
      </w:r>
      <w:r w:rsidR="00F43857" w:rsidRPr="00557E9C">
        <w:t>му</w:t>
      </w:r>
      <w:r w:rsidR="000E39E1" w:rsidRPr="00557E9C">
        <w:t xml:space="preserve"> із</w:t>
      </w:r>
      <w:r w:rsidR="00C303A2" w:rsidRPr="00557E9C">
        <w:t xml:space="preserve"> </w:t>
      </w:r>
      <w:r w:rsidR="00F63987" w:rsidRPr="00557E9C">
        <w:t>критеріїв</w:t>
      </w:r>
      <w:r w:rsidR="00120D63" w:rsidRPr="00C30863">
        <w:t>,</w:t>
      </w:r>
      <w:r w:rsidR="00120D63">
        <w:t xml:space="preserve"> за якими</w:t>
      </w:r>
      <w:r w:rsidR="00120D63" w:rsidRPr="00C30863">
        <w:t xml:space="preserve"> визнач</w:t>
      </w:r>
      <w:r w:rsidR="00120D63">
        <w:t>ається значимість</w:t>
      </w:r>
      <w:r w:rsidR="00120D63" w:rsidRPr="00C30863">
        <w:t xml:space="preserve"> фінансової компанії</w:t>
      </w:r>
      <w:r w:rsidR="00F63987" w:rsidRPr="00557E9C">
        <w:t>,</w:t>
      </w:r>
      <w:r w:rsidR="00932147" w:rsidRPr="00557E9C">
        <w:t xml:space="preserve"> встановлених у </w:t>
      </w:r>
      <w:r w:rsidR="004C2BC1" w:rsidRPr="00557E9C">
        <w:t>д</w:t>
      </w:r>
      <w:r w:rsidR="005818E7" w:rsidRPr="00557E9C">
        <w:t>одатку</w:t>
      </w:r>
      <w:r w:rsidR="00C303A2" w:rsidRPr="00557E9C">
        <w:t xml:space="preserve"> </w:t>
      </w:r>
      <w:r w:rsidR="005818E7" w:rsidRPr="00557E9C">
        <w:t>до</w:t>
      </w:r>
      <w:r w:rsidR="008F0BD8" w:rsidRPr="00557E9C">
        <w:t xml:space="preserve"> </w:t>
      </w:r>
      <w:r w:rsidR="00932147" w:rsidRPr="00557E9C">
        <w:t>цього Положен</w:t>
      </w:r>
      <w:r w:rsidR="00932147" w:rsidRPr="00F85C0E">
        <w:t>ня</w:t>
      </w:r>
      <w:r w:rsidR="00935DAD">
        <w:t xml:space="preserve">. </w:t>
      </w:r>
    </w:p>
    <w:p w14:paraId="164000B0" w14:textId="77777777" w:rsidR="006B68D1" w:rsidRPr="00F85C0E" w:rsidRDefault="006B68D1" w:rsidP="00C1431B">
      <w:pPr>
        <w:pStyle w:val="af3"/>
        <w:ind w:left="0" w:firstLine="567"/>
        <w:rPr>
          <w:lang w:eastAsia="en-US"/>
        </w:rPr>
      </w:pPr>
    </w:p>
    <w:p w14:paraId="23A3B60E" w14:textId="7E8A5F58" w:rsidR="00F32298" w:rsidRPr="00F85C0E" w:rsidRDefault="006B68D1" w:rsidP="00C1431B">
      <w:pPr>
        <w:pStyle w:val="af3"/>
        <w:numPr>
          <w:ilvl w:val="0"/>
          <w:numId w:val="19"/>
        </w:numPr>
        <w:tabs>
          <w:tab w:val="left" w:pos="993"/>
        </w:tabs>
        <w:ind w:left="0" w:firstLine="567"/>
        <w:rPr>
          <w:rFonts w:eastAsiaTheme="minorEastAsia"/>
        </w:rPr>
      </w:pPr>
      <w:r w:rsidRPr="00F85C0E">
        <w:lastRenderedPageBreak/>
        <w:t xml:space="preserve">Національний банк щорічно до </w:t>
      </w:r>
      <w:r w:rsidR="00F32298" w:rsidRPr="00F85C0E">
        <w:t>31</w:t>
      </w:r>
      <w:r w:rsidRPr="00F85C0E">
        <w:t xml:space="preserve"> </w:t>
      </w:r>
      <w:r w:rsidR="00F32298" w:rsidRPr="00F85C0E">
        <w:t>грудня</w:t>
      </w:r>
      <w:r w:rsidRPr="00F85C0E">
        <w:t xml:space="preserve"> </w:t>
      </w:r>
      <w:r w:rsidR="00F32298" w:rsidRPr="00F85C0E">
        <w:t>проводить оцінку відповідності фінансової компанії критеріям</w:t>
      </w:r>
      <w:r w:rsidR="008F0BD8" w:rsidRPr="00F85C0E">
        <w:t xml:space="preserve"> </w:t>
      </w:r>
      <w:r w:rsidR="002953B4" w:rsidRPr="00F85C0E">
        <w:t>(далі – оцінка)</w:t>
      </w:r>
      <w:r w:rsidRPr="00F85C0E">
        <w:t xml:space="preserve"> на підставі звітності</w:t>
      </w:r>
      <w:r w:rsidR="005818E7" w:rsidRPr="00F85C0E">
        <w:t xml:space="preserve"> </w:t>
      </w:r>
      <w:r w:rsidR="00D46E46" w:rsidRPr="00F85C0E">
        <w:t xml:space="preserve">фінансової компанії, складеної та поданої до Національного банку за останній </w:t>
      </w:r>
      <w:r w:rsidR="005818E7" w:rsidRPr="00F85C0E">
        <w:t>квартал попереднього року та</w:t>
      </w:r>
      <w:r w:rsidR="003A6077" w:rsidRPr="00F85C0E">
        <w:t xml:space="preserve"> </w:t>
      </w:r>
      <w:r w:rsidR="004C2BC1" w:rsidRPr="00F85C0E">
        <w:t xml:space="preserve">дев’яти </w:t>
      </w:r>
      <w:r w:rsidRPr="00F85C0E">
        <w:t>місяців поточного року (</w:t>
      </w:r>
      <w:r w:rsidR="00A03C24" w:rsidRPr="00F85C0E">
        <w:t xml:space="preserve">за </w:t>
      </w:r>
      <w:r w:rsidRPr="00F85C0E">
        <w:t>весь період діяльності, що передує даті оцінці, якщо фінансова компанія розпочала діяльність після початку року)</w:t>
      </w:r>
      <w:r w:rsidR="003A6077" w:rsidRPr="00F85C0E">
        <w:t>,</w:t>
      </w:r>
      <w:r w:rsidRPr="00F85C0E">
        <w:t xml:space="preserve"> </w:t>
      </w:r>
      <w:r w:rsidR="00F32298" w:rsidRPr="00F85C0E">
        <w:t xml:space="preserve">та </w:t>
      </w:r>
      <w:r w:rsidR="00B510F3" w:rsidRPr="00F85C0E">
        <w:t xml:space="preserve">визначає </w:t>
      </w:r>
      <w:r w:rsidR="00F32298" w:rsidRPr="00F85C0E">
        <w:t>фінансову компанію значим</w:t>
      </w:r>
      <w:r w:rsidR="00B510F3" w:rsidRPr="00F85C0E">
        <w:t>ою</w:t>
      </w:r>
      <w:r w:rsidR="00F32298" w:rsidRPr="00F85C0E">
        <w:t>.</w:t>
      </w:r>
    </w:p>
    <w:p w14:paraId="72FA5213" w14:textId="77777777" w:rsidR="00F32298" w:rsidRPr="00F85C0E" w:rsidRDefault="00F32298" w:rsidP="00C1431B">
      <w:pPr>
        <w:pStyle w:val="af3"/>
        <w:tabs>
          <w:tab w:val="left" w:pos="993"/>
        </w:tabs>
        <w:ind w:left="0" w:firstLine="567"/>
        <w:rPr>
          <w:rFonts w:eastAsiaTheme="minorEastAsia"/>
        </w:rPr>
      </w:pPr>
    </w:p>
    <w:p w14:paraId="091EBB00" w14:textId="4C40FA75" w:rsidR="00402A74" w:rsidRPr="00F85C0E" w:rsidRDefault="009F1C8A" w:rsidP="00C1431B">
      <w:pPr>
        <w:tabs>
          <w:tab w:val="left" w:pos="851"/>
          <w:tab w:val="left" w:pos="993"/>
        </w:tabs>
        <w:ind w:firstLine="567"/>
      </w:pPr>
      <w:r w:rsidRPr="00F85C0E">
        <w:t xml:space="preserve">6. </w:t>
      </w:r>
      <w:r w:rsidR="00402A74" w:rsidRPr="00F85C0E">
        <w:t xml:space="preserve">Фінансова компанія зобов’язана надавати на вимогу Національного банку всю інформацію та документи, потрібні для визначення Національним банком </w:t>
      </w:r>
      <w:r w:rsidR="00402A74" w:rsidRPr="00F85C0E">
        <w:rPr>
          <w:rFonts w:eastAsiaTheme="minorEastAsia"/>
          <w:bCs/>
          <w:iCs/>
        </w:rPr>
        <w:t>фінансової компанії значимою</w:t>
      </w:r>
      <w:r w:rsidR="00402A74" w:rsidRPr="00F85C0E">
        <w:t>.</w:t>
      </w:r>
    </w:p>
    <w:p w14:paraId="43426B3F" w14:textId="77777777" w:rsidR="00402A74" w:rsidRPr="00F85C0E" w:rsidRDefault="00402A74" w:rsidP="00C1431B">
      <w:pPr>
        <w:pStyle w:val="af3"/>
        <w:tabs>
          <w:tab w:val="left" w:pos="851"/>
          <w:tab w:val="left" w:pos="993"/>
        </w:tabs>
        <w:ind w:left="0" w:firstLine="567"/>
      </w:pPr>
    </w:p>
    <w:p w14:paraId="7C959946" w14:textId="737C9D51" w:rsidR="00A03C24" w:rsidRPr="00F85C0E" w:rsidRDefault="00A03C24" w:rsidP="00C1431B">
      <w:pPr>
        <w:pStyle w:val="af3"/>
        <w:numPr>
          <w:ilvl w:val="0"/>
          <w:numId w:val="16"/>
        </w:numPr>
        <w:tabs>
          <w:tab w:val="left" w:pos="851"/>
          <w:tab w:val="left" w:pos="993"/>
        </w:tabs>
        <w:ind w:left="0" w:firstLine="567"/>
      </w:pPr>
      <w:r w:rsidRPr="00F85C0E">
        <w:t>Рішення про визна</w:t>
      </w:r>
      <w:r w:rsidR="00B510F3" w:rsidRPr="00F85C0E">
        <w:t>че</w:t>
      </w:r>
      <w:r w:rsidRPr="00F85C0E">
        <w:t xml:space="preserve">ння фінансової компанії значимою приймає </w:t>
      </w:r>
      <w:r w:rsidR="003A6077" w:rsidRPr="00F85C0E">
        <w:t xml:space="preserve">Правління </w:t>
      </w:r>
      <w:r w:rsidRPr="00F85C0E">
        <w:t>Національного банку</w:t>
      </w:r>
      <w:r w:rsidR="00AE2566" w:rsidRPr="00F85C0E">
        <w:t xml:space="preserve"> на підставі оцінки відповідності фінансової компанії критеріям</w:t>
      </w:r>
      <w:r w:rsidRPr="00F85C0E">
        <w:t>.</w:t>
      </w:r>
    </w:p>
    <w:p w14:paraId="4083428D" w14:textId="77777777" w:rsidR="00417EFB" w:rsidRPr="00F85C0E" w:rsidRDefault="00417EFB" w:rsidP="00C1431B">
      <w:pPr>
        <w:pStyle w:val="af3"/>
        <w:tabs>
          <w:tab w:val="left" w:pos="851"/>
          <w:tab w:val="left" w:pos="993"/>
        </w:tabs>
        <w:ind w:left="0" w:firstLine="567"/>
      </w:pPr>
    </w:p>
    <w:p w14:paraId="1F1B5CCF" w14:textId="5BA61ABB" w:rsidR="00417EFB" w:rsidRPr="00F85C0E" w:rsidRDefault="00417EFB" w:rsidP="00C1431B">
      <w:pPr>
        <w:pStyle w:val="af3"/>
        <w:numPr>
          <w:ilvl w:val="0"/>
          <w:numId w:val="16"/>
        </w:numPr>
        <w:tabs>
          <w:tab w:val="left" w:pos="851"/>
          <w:tab w:val="left" w:pos="993"/>
        </w:tabs>
        <w:ind w:left="0" w:firstLine="567"/>
      </w:pPr>
      <w:r w:rsidRPr="00F85C0E">
        <w:t>Фінансова компанія визна</w:t>
      </w:r>
      <w:r w:rsidR="00B510F3" w:rsidRPr="00F85C0E">
        <w:t>ча</w:t>
      </w:r>
      <w:r w:rsidRPr="00F85C0E">
        <w:t>ється</w:t>
      </w:r>
      <w:r w:rsidR="00C10A61" w:rsidRPr="00F85C0E">
        <w:t xml:space="preserve"> Національним банком</w:t>
      </w:r>
      <w:r w:rsidRPr="00F85C0E">
        <w:t xml:space="preserve"> значимою до наступної оцінки.</w:t>
      </w:r>
    </w:p>
    <w:p w14:paraId="7220ADE7" w14:textId="77777777" w:rsidR="00A03C24" w:rsidRPr="00F85C0E" w:rsidRDefault="00A03C24" w:rsidP="00C1431B">
      <w:pPr>
        <w:pStyle w:val="af3"/>
        <w:tabs>
          <w:tab w:val="left" w:pos="851"/>
          <w:tab w:val="left" w:pos="993"/>
        </w:tabs>
        <w:ind w:left="0" w:firstLine="567"/>
      </w:pPr>
    </w:p>
    <w:p w14:paraId="074B4B1D" w14:textId="0F209D92" w:rsidR="00417EFB" w:rsidRPr="00F85C0E" w:rsidRDefault="00F32298" w:rsidP="00C1431B">
      <w:pPr>
        <w:pStyle w:val="af3"/>
        <w:numPr>
          <w:ilvl w:val="0"/>
          <w:numId w:val="16"/>
        </w:numPr>
        <w:tabs>
          <w:tab w:val="left" w:pos="851"/>
          <w:tab w:val="left" w:pos="993"/>
        </w:tabs>
        <w:ind w:left="0" w:firstLine="567"/>
      </w:pPr>
      <w:r w:rsidRPr="00F85C0E">
        <w:t>Національний банк щорічно до 01 лютого року наступного за роком, в якому проводилася оцінка,</w:t>
      </w:r>
      <w:r w:rsidR="00A03C24" w:rsidRPr="00F85C0E">
        <w:t xml:space="preserve"> повідомляє фінансов</w:t>
      </w:r>
      <w:r w:rsidR="00AE2566" w:rsidRPr="00F85C0E">
        <w:t>у</w:t>
      </w:r>
      <w:r w:rsidR="00A03C24" w:rsidRPr="00F85C0E">
        <w:t xml:space="preserve"> компані</w:t>
      </w:r>
      <w:r w:rsidR="00AE2566" w:rsidRPr="00F85C0E">
        <w:t>ю</w:t>
      </w:r>
      <w:r w:rsidR="00A03C24" w:rsidRPr="00F85C0E">
        <w:t>, що бул</w:t>
      </w:r>
      <w:r w:rsidR="00AE2566" w:rsidRPr="00F85C0E">
        <w:t>а</w:t>
      </w:r>
      <w:r w:rsidR="00A03C24" w:rsidRPr="00F85C0E">
        <w:t xml:space="preserve"> визна</w:t>
      </w:r>
      <w:r w:rsidR="00B510F3" w:rsidRPr="00F85C0E">
        <w:t>че</w:t>
      </w:r>
      <w:r w:rsidR="00A03C24" w:rsidRPr="00F85C0E">
        <w:t>н</w:t>
      </w:r>
      <w:r w:rsidR="00AE2566" w:rsidRPr="00F85C0E">
        <w:t>а</w:t>
      </w:r>
      <w:r w:rsidR="00A03C24" w:rsidRPr="00F85C0E">
        <w:t xml:space="preserve"> Національним банком значим</w:t>
      </w:r>
      <w:r w:rsidR="00AE2566" w:rsidRPr="00F85C0E">
        <w:t>ою</w:t>
      </w:r>
      <w:r w:rsidR="00A03C24" w:rsidRPr="00F85C0E">
        <w:t xml:space="preserve">, листом з інформацією </w:t>
      </w:r>
      <w:r w:rsidR="008F0BD8" w:rsidRPr="00F85C0E">
        <w:t xml:space="preserve">щодо </w:t>
      </w:r>
      <w:r w:rsidR="00A03C24" w:rsidRPr="00F85C0E">
        <w:t>прийнят</w:t>
      </w:r>
      <w:r w:rsidR="008F0BD8" w:rsidRPr="00F85C0E">
        <w:t>ого</w:t>
      </w:r>
      <w:r w:rsidR="00A03C24" w:rsidRPr="00F85C0E">
        <w:t xml:space="preserve"> рішення</w:t>
      </w:r>
      <w:r w:rsidR="008F0BD8" w:rsidRPr="00F85C0E">
        <w:t xml:space="preserve"> про визна</w:t>
      </w:r>
      <w:r w:rsidR="00B510F3" w:rsidRPr="00F85C0E">
        <w:t>че</w:t>
      </w:r>
      <w:r w:rsidR="008F0BD8" w:rsidRPr="00F85C0E">
        <w:t>ння</w:t>
      </w:r>
      <w:r w:rsidR="00DC4420" w:rsidRPr="00F85C0E">
        <w:t xml:space="preserve"> Національним банком</w:t>
      </w:r>
      <w:r w:rsidR="008F0BD8" w:rsidRPr="00F85C0E">
        <w:t xml:space="preserve"> фінансової компанії значимою,</w:t>
      </w:r>
      <w:r w:rsidR="00A03C24" w:rsidRPr="00F85C0E">
        <w:t xml:space="preserve"> за підписом </w:t>
      </w:r>
      <w:r w:rsidR="00AE2566" w:rsidRPr="00F85C0E">
        <w:t>уповноваженої</w:t>
      </w:r>
      <w:r w:rsidR="00A03C24" w:rsidRPr="00F85C0E">
        <w:t xml:space="preserve"> особи </w:t>
      </w:r>
      <w:r w:rsidR="00AE2566" w:rsidRPr="00F85C0E">
        <w:t>Національного банку</w:t>
      </w:r>
      <w:r w:rsidR="00417EFB" w:rsidRPr="00F85C0E">
        <w:t>.</w:t>
      </w:r>
    </w:p>
    <w:p w14:paraId="664E3329" w14:textId="77777777" w:rsidR="00417EFB" w:rsidRPr="00F85C0E" w:rsidRDefault="00417EFB" w:rsidP="00C1431B">
      <w:pPr>
        <w:pStyle w:val="af3"/>
        <w:tabs>
          <w:tab w:val="left" w:pos="993"/>
        </w:tabs>
        <w:ind w:left="0" w:firstLine="567"/>
      </w:pPr>
    </w:p>
    <w:p w14:paraId="3FE99572" w14:textId="050C18B2" w:rsidR="00A03C24" w:rsidRPr="00F85C0E" w:rsidRDefault="00417EFB" w:rsidP="00C1431B">
      <w:pPr>
        <w:pStyle w:val="af3"/>
        <w:numPr>
          <w:ilvl w:val="0"/>
          <w:numId w:val="16"/>
        </w:numPr>
        <w:tabs>
          <w:tab w:val="left" w:pos="993"/>
        </w:tabs>
        <w:ind w:left="0" w:firstLine="567"/>
      </w:pPr>
      <w:r w:rsidRPr="00F85C0E">
        <w:t xml:space="preserve">Національний банк щорічно до 01 лютого року наступного за роком, в якому проводилася оцінка </w:t>
      </w:r>
      <w:r w:rsidR="00F32298" w:rsidRPr="00F85C0E">
        <w:t>оприлюднює перелік фінансових компаній, що були визна</w:t>
      </w:r>
      <w:r w:rsidR="00DC4420" w:rsidRPr="00F85C0E">
        <w:t>че</w:t>
      </w:r>
      <w:r w:rsidR="00F32298" w:rsidRPr="00F85C0E">
        <w:t xml:space="preserve">ні Національним банком значимими на </w:t>
      </w:r>
      <w:r w:rsidR="005D551C" w:rsidRPr="00F85C0E">
        <w:t>сторінці офіційного</w:t>
      </w:r>
      <w:r w:rsidR="00544233" w:rsidRPr="00F85C0E">
        <w:t xml:space="preserve"> Інтернет - представництва </w:t>
      </w:r>
      <w:r w:rsidR="00A03C24" w:rsidRPr="00F85C0E">
        <w:t>Національного банку.</w:t>
      </w:r>
    </w:p>
    <w:p w14:paraId="763A371D" w14:textId="77777777" w:rsidR="00A03C24" w:rsidRPr="00F85C0E" w:rsidRDefault="00A03C24" w:rsidP="00C1431B">
      <w:pPr>
        <w:pStyle w:val="af3"/>
        <w:tabs>
          <w:tab w:val="left" w:pos="993"/>
        </w:tabs>
        <w:ind w:left="0" w:firstLine="567"/>
      </w:pPr>
    </w:p>
    <w:p w14:paraId="52098450" w14:textId="6EACD787" w:rsidR="0080144E" w:rsidRPr="00F85C0E" w:rsidRDefault="0080144E" w:rsidP="00C1431B">
      <w:pPr>
        <w:pStyle w:val="af3"/>
        <w:numPr>
          <w:ilvl w:val="0"/>
          <w:numId w:val="16"/>
        </w:numPr>
        <w:tabs>
          <w:tab w:val="left" w:pos="993"/>
        </w:tabs>
        <w:ind w:left="0" w:firstLine="567"/>
      </w:pPr>
      <w:r w:rsidRPr="00F85C0E">
        <w:t>Фінансова компанія набуває</w:t>
      </w:r>
      <w:r w:rsidR="00CC06CE" w:rsidRPr="00F85C0E">
        <w:t> </w:t>
      </w:r>
      <w:r w:rsidRPr="00F85C0E">
        <w:t>/</w:t>
      </w:r>
      <w:r w:rsidR="00CC06CE" w:rsidRPr="00F85C0E">
        <w:t> </w:t>
      </w:r>
      <w:r w:rsidRPr="00F85C0E">
        <w:t>втрачає статус значимої з дня оприлюднення Національним банком переліку фінансових компаній</w:t>
      </w:r>
      <w:r w:rsidR="00DC4420" w:rsidRPr="00F85C0E">
        <w:t>, що були визначені Національним банком значимими</w:t>
      </w:r>
      <w:r w:rsidRPr="00F85C0E">
        <w:t>.</w:t>
      </w:r>
    </w:p>
    <w:p w14:paraId="2BE29869" w14:textId="77777777" w:rsidR="0080144E" w:rsidRPr="00F85C0E" w:rsidRDefault="0080144E" w:rsidP="00C1431B">
      <w:pPr>
        <w:pStyle w:val="af3"/>
        <w:tabs>
          <w:tab w:val="left" w:pos="993"/>
        </w:tabs>
        <w:ind w:left="0" w:firstLine="567"/>
      </w:pPr>
    </w:p>
    <w:p w14:paraId="53275285" w14:textId="0DD5C603" w:rsidR="0080144E" w:rsidRPr="00F85C0E" w:rsidRDefault="0080144E" w:rsidP="00C1431B">
      <w:pPr>
        <w:pStyle w:val="af3"/>
        <w:numPr>
          <w:ilvl w:val="0"/>
          <w:numId w:val="16"/>
        </w:numPr>
        <w:tabs>
          <w:tab w:val="left" w:pos="993"/>
        </w:tabs>
        <w:ind w:left="0" w:firstLine="567"/>
      </w:pPr>
      <w:r w:rsidRPr="00F85C0E">
        <w:t xml:space="preserve">Фінансова компанія </w:t>
      </w:r>
      <w:r w:rsidRPr="00F85C0E">
        <w:rPr>
          <w:color w:val="333333"/>
        </w:rPr>
        <w:t>зобов’язана протягом періоду з дня оприлюдненн</w:t>
      </w:r>
      <w:r w:rsidR="00455782" w:rsidRPr="00F85C0E">
        <w:rPr>
          <w:color w:val="333333"/>
        </w:rPr>
        <w:t xml:space="preserve">я Національним банком переліку </w:t>
      </w:r>
      <w:r w:rsidRPr="00F85C0E">
        <w:rPr>
          <w:color w:val="333333"/>
        </w:rPr>
        <w:t>фінансових компаній</w:t>
      </w:r>
      <w:r w:rsidR="00455782" w:rsidRPr="00F85C0E">
        <w:rPr>
          <w:color w:val="333333"/>
        </w:rPr>
        <w:t xml:space="preserve">, </w:t>
      </w:r>
      <w:r w:rsidR="00455782" w:rsidRPr="00F85C0E">
        <w:t>що були визначені Національним банком значимими,</w:t>
      </w:r>
      <w:r w:rsidRPr="00F85C0E">
        <w:rPr>
          <w:color w:val="333333"/>
        </w:rPr>
        <w:t xml:space="preserve"> до 01 липня року</w:t>
      </w:r>
      <w:r w:rsidR="00586793" w:rsidRPr="00F85C0E">
        <w:rPr>
          <w:color w:val="333333"/>
        </w:rPr>
        <w:t xml:space="preserve">, </w:t>
      </w:r>
      <w:r w:rsidR="00586793" w:rsidRPr="00F85C0E">
        <w:t>в якому Національний банк оприлюднив інформацію про визначення фінансової компанії значимою</w:t>
      </w:r>
      <w:r w:rsidRPr="00F85C0E">
        <w:rPr>
          <w:color w:val="333333"/>
        </w:rPr>
        <w:t xml:space="preserve"> привести свою діяльність</w:t>
      </w:r>
      <w:r w:rsidR="00465A2E" w:rsidRPr="00F85C0E">
        <w:t>,</w:t>
      </w:r>
      <w:r w:rsidR="00953072" w:rsidRPr="00F85C0E">
        <w:t xml:space="preserve"> </w:t>
      </w:r>
      <w:r w:rsidRPr="00F85C0E">
        <w:rPr>
          <w:color w:val="333333"/>
        </w:rPr>
        <w:t>у відповідність до вимог</w:t>
      </w:r>
      <w:r w:rsidR="00266085" w:rsidRPr="00F85C0E">
        <w:rPr>
          <w:color w:val="333333"/>
        </w:rPr>
        <w:t xml:space="preserve">, що встановлюються </w:t>
      </w:r>
      <w:r w:rsidR="00266085" w:rsidRPr="00F85C0E">
        <w:t xml:space="preserve">до значимих фінансових компаній </w:t>
      </w:r>
      <w:r w:rsidRPr="00F85C0E">
        <w:rPr>
          <w:color w:val="333333"/>
        </w:rPr>
        <w:t> </w:t>
      </w:r>
      <w:hyperlink r:id="rId23" w:tgtFrame="_blank" w:history="1">
        <w:r w:rsidRPr="00F85C0E">
          <w:t>Положення</w:t>
        </w:r>
      </w:hyperlink>
      <w:r w:rsidR="00266085" w:rsidRPr="00F85C0E">
        <w:t>м</w:t>
      </w:r>
      <w:r w:rsidRPr="00F85C0E">
        <w:t xml:space="preserve"> </w:t>
      </w:r>
      <w:r w:rsidR="007E0634" w:rsidRPr="00F85C0E">
        <w:t>про вимоги до системи корпоративного управління та системи внутрішнього контролю фінансової компанії, затверджен</w:t>
      </w:r>
      <w:r w:rsidR="00455782" w:rsidRPr="00F85C0E">
        <w:t>им</w:t>
      </w:r>
      <w:r w:rsidR="007E0634" w:rsidRPr="00F85C0E">
        <w:t xml:space="preserve"> постановою Правління Національного банку України </w:t>
      </w:r>
      <w:r w:rsidR="007E0634" w:rsidRPr="00F85C0E">
        <w:lastRenderedPageBreak/>
        <w:t xml:space="preserve">від 27 грудня 2024 року № 185 </w:t>
      </w:r>
      <w:r w:rsidR="005E07D8" w:rsidRPr="00F85C0E">
        <w:rPr>
          <w:bCs/>
        </w:rPr>
        <w:t xml:space="preserve">(зі змінами)  </w:t>
      </w:r>
      <w:r w:rsidR="007E0634" w:rsidRPr="00F85C0E">
        <w:t>(далі</w:t>
      </w:r>
      <w:r w:rsidR="00CC06CE" w:rsidRPr="00F85C0E">
        <w:t> </w:t>
      </w:r>
      <w:r w:rsidR="007E0634" w:rsidRPr="00F85C0E">
        <w:t>–</w:t>
      </w:r>
      <w:r w:rsidR="00CC06CE" w:rsidRPr="00F85C0E">
        <w:t> </w:t>
      </w:r>
      <w:r w:rsidR="007E0634" w:rsidRPr="00F85C0E">
        <w:t>Положення №</w:t>
      </w:r>
      <w:r w:rsidR="00F85C0E" w:rsidRPr="00F85C0E">
        <w:t> </w:t>
      </w:r>
      <w:r w:rsidR="007E0634" w:rsidRPr="00F85C0E">
        <w:t>185)</w:t>
      </w:r>
      <w:r w:rsidR="00266085" w:rsidRPr="00F85C0E">
        <w:t xml:space="preserve"> та</w:t>
      </w:r>
      <w:r w:rsidR="007E0634" w:rsidRPr="00F85C0E">
        <w:t xml:space="preserve"> </w:t>
      </w:r>
      <w:r w:rsidR="00953072" w:rsidRPr="00F85C0E">
        <w:rPr>
          <w:bCs/>
        </w:rPr>
        <w:t>Положення</w:t>
      </w:r>
      <w:r w:rsidR="00266085" w:rsidRPr="00F85C0E">
        <w:rPr>
          <w:bCs/>
        </w:rPr>
        <w:t>м</w:t>
      </w:r>
      <w:r w:rsidR="00953072" w:rsidRPr="00F85C0E">
        <w:rPr>
          <w:bCs/>
        </w:rPr>
        <w:t xml:space="preserve"> про авторизацію надавачів фінансових послуг та умови здійснення ними діяльності з надання фінансових послуг, затверджен</w:t>
      </w:r>
      <w:r w:rsidR="009F1C8A" w:rsidRPr="00F85C0E">
        <w:rPr>
          <w:bCs/>
        </w:rPr>
        <w:t>им</w:t>
      </w:r>
      <w:r w:rsidR="00953072" w:rsidRPr="00F85C0E">
        <w:rPr>
          <w:bCs/>
        </w:rPr>
        <w:t xml:space="preserve"> постановою Правління Національного банку України від 29</w:t>
      </w:r>
      <w:r w:rsidR="00455782" w:rsidRPr="00F85C0E">
        <w:rPr>
          <w:bCs/>
        </w:rPr>
        <w:t xml:space="preserve"> грудня </w:t>
      </w:r>
      <w:r w:rsidR="00953072" w:rsidRPr="00F85C0E">
        <w:rPr>
          <w:bCs/>
        </w:rPr>
        <w:t>202</w:t>
      </w:r>
      <w:r w:rsidR="00455782" w:rsidRPr="00F85C0E">
        <w:rPr>
          <w:bCs/>
        </w:rPr>
        <w:t>3 року</w:t>
      </w:r>
      <w:r w:rsidR="00953072" w:rsidRPr="00F85C0E">
        <w:rPr>
          <w:bCs/>
        </w:rPr>
        <w:t xml:space="preserve"> № 199</w:t>
      </w:r>
      <w:r w:rsidR="009D3CC9" w:rsidRPr="00F85C0E">
        <w:rPr>
          <w:bCs/>
        </w:rPr>
        <w:t xml:space="preserve"> (зі змінами) (далі</w:t>
      </w:r>
      <w:r w:rsidR="009D3CC9" w:rsidRPr="00F85C0E">
        <w:t> – </w:t>
      </w:r>
      <w:r w:rsidR="009D3CC9" w:rsidRPr="00F85C0E">
        <w:rPr>
          <w:bCs/>
        </w:rPr>
        <w:t>Положення №199)</w:t>
      </w:r>
      <w:r w:rsidR="00734992" w:rsidRPr="00F85C0E">
        <w:t>.</w:t>
      </w:r>
    </w:p>
    <w:p w14:paraId="7A3C4CC1" w14:textId="77777777" w:rsidR="007E0634" w:rsidRPr="00F85C0E" w:rsidRDefault="007E0634" w:rsidP="00C1431B">
      <w:pPr>
        <w:pStyle w:val="af3"/>
        <w:ind w:left="0" w:firstLine="567"/>
      </w:pPr>
    </w:p>
    <w:p w14:paraId="1CA6781E" w14:textId="3D3090C6" w:rsidR="007E0634" w:rsidRPr="00F85C0E" w:rsidRDefault="007E0634" w:rsidP="00C1431B">
      <w:pPr>
        <w:pStyle w:val="af3"/>
        <w:numPr>
          <w:ilvl w:val="0"/>
          <w:numId w:val="16"/>
        </w:numPr>
        <w:tabs>
          <w:tab w:val="left" w:pos="993"/>
        </w:tabs>
        <w:ind w:left="0" w:firstLine="567"/>
      </w:pPr>
      <w:r w:rsidRPr="00F85C0E">
        <w:rPr>
          <w:color w:val="333333"/>
        </w:rPr>
        <w:t xml:space="preserve">Значима фінансова компанія </w:t>
      </w:r>
      <w:r w:rsidR="00455782" w:rsidRPr="00F85C0E">
        <w:rPr>
          <w:color w:val="333333"/>
        </w:rPr>
        <w:t>зобов’язана</w:t>
      </w:r>
      <w:r w:rsidRPr="00F85C0E">
        <w:rPr>
          <w:color w:val="333333"/>
        </w:rPr>
        <w:t xml:space="preserve"> відповідати </w:t>
      </w:r>
      <w:r w:rsidR="009D3CC9" w:rsidRPr="00F85C0E">
        <w:t>вимог</w:t>
      </w:r>
      <w:r w:rsidR="00266085" w:rsidRPr="00F85C0E">
        <w:t>ам</w:t>
      </w:r>
      <w:r w:rsidR="009D3CC9" w:rsidRPr="00F85C0E">
        <w:t xml:space="preserve"> до значимих фінансових компаній</w:t>
      </w:r>
      <w:r w:rsidR="00465A2E" w:rsidRPr="00F85C0E">
        <w:t>,</w:t>
      </w:r>
      <w:r w:rsidR="009D3CC9" w:rsidRPr="00F85C0E">
        <w:t xml:space="preserve"> </w:t>
      </w:r>
      <w:r w:rsidR="00266085" w:rsidRPr="00F85C0E">
        <w:rPr>
          <w:color w:val="333333"/>
        </w:rPr>
        <w:t>встановлени</w:t>
      </w:r>
      <w:r w:rsidR="00811823" w:rsidRPr="00F85C0E">
        <w:rPr>
          <w:color w:val="333333"/>
        </w:rPr>
        <w:t>м</w:t>
      </w:r>
      <w:r w:rsidRPr="00F85C0E">
        <w:rPr>
          <w:color w:val="333333"/>
        </w:rPr>
        <w:t> </w:t>
      </w:r>
      <w:hyperlink r:id="rId24" w:tgtFrame="_blank" w:history="1">
        <w:r w:rsidRPr="00F85C0E">
          <w:rPr>
            <w:color w:val="333333"/>
          </w:rPr>
          <w:t>Положення</w:t>
        </w:r>
      </w:hyperlink>
      <w:r w:rsidR="00266085" w:rsidRPr="00F85C0E">
        <w:rPr>
          <w:color w:val="333333"/>
        </w:rPr>
        <w:t>м</w:t>
      </w:r>
      <w:r w:rsidRPr="00F85C0E">
        <w:rPr>
          <w:color w:val="333333"/>
        </w:rPr>
        <w:t xml:space="preserve"> №</w:t>
      </w:r>
      <w:r w:rsidR="009D3CC9" w:rsidRPr="00F85C0E">
        <w:rPr>
          <w:color w:val="333333"/>
        </w:rPr>
        <w:t> </w:t>
      </w:r>
      <w:r w:rsidRPr="00F85C0E">
        <w:rPr>
          <w:color w:val="333333"/>
        </w:rPr>
        <w:t>185</w:t>
      </w:r>
      <w:r w:rsidR="00266085" w:rsidRPr="00F85C0E">
        <w:rPr>
          <w:color w:val="333333"/>
        </w:rPr>
        <w:t xml:space="preserve"> та</w:t>
      </w:r>
      <w:r w:rsidR="009D3CC9" w:rsidRPr="00F85C0E">
        <w:rPr>
          <w:color w:val="333333"/>
        </w:rPr>
        <w:t xml:space="preserve"> Положення</w:t>
      </w:r>
      <w:r w:rsidR="00266085" w:rsidRPr="00F85C0E">
        <w:rPr>
          <w:color w:val="333333"/>
        </w:rPr>
        <w:t>м</w:t>
      </w:r>
      <w:r w:rsidR="009D3CC9" w:rsidRPr="00F85C0E">
        <w:rPr>
          <w:color w:val="333333"/>
        </w:rPr>
        <w:t xml:space="preserve"> № 199</w:t>
      </w:r>
      <w:r w:rsidRPr="00F85C0E">
        <w:rPr>
          <w:color w:val="333333"/>
        </w:rPr>
        <w:t xml:space="preserve"> </w:t>
      </w:r>
      <w:r w:rsidR="00C1431B" w:rsidRPr="00F85C0E">
        <w:rPr>
          <w:color w:val="333333"/>
        </w:rPr>
        <w:t>з дня оприлюднення Національним банком переліку фінансових компаній, що були визначені Національним банком значимими</w:t>
      </w:r>
      <w:r w:rsidRPr="00F85C0E">
        <w:rPr>
          <w:color w:val="333333"/>
        </w:rPr>
        <w:t xml:space="preserve">, та до закінчення календарного року, в якому </w:t>
      </w:r>
      <w:r w:rsidR="004A7C14" w:rsidRPr="00F85C0E">
        <w:rPr>
          <w:color w:val="333333"/>
        </w:rPr>
        <w:t>фінансова компанія</w:t>
      </w:r>
      <w:r w:rsidRPr="00F85C0E">
        <w:rPr>
          <w:color w:val="333333"/>
        </w:rPr>
        <w:t xml:space="preserve"> втратила статус значимої.</w:t>
      </w:r>
    </w:p>
    <w:p w14:paraId="7DAD24BC" w14:textId="77777777" w:rsidR="0080144E" w:rsidRPr="00F85C0E" w:rsidRDefault="0080144E" w:rsidP="00C1431B">
      <w:pPr>
        <w:pStyle w:val="af3"/>
        <w:ind w:left="0" w:firstLine="567"/>
      </w:pPr>
    </w:p>
    <w:p w14:paraId="1AA8088E" w14:textId="2CC41DB3" w:rsidR="00A541E5" w:rsidRPr="00F85C0E" w:rsidRDefault="00417EFB" w:rsidP="00C1431B">
      <w:pPr>
        <w:pStyle w:val="af3"/>
        <w:numPr>
          <w:ilvl w:val="0"/>
          <w:numId w:val="16"/>
        </w:numPr>
        <w:tabs>
          <w:tab w:val="left" w:pos="993"/>
        </w:tabs>
        <w:ind w:left="0" w:firstLine="567"/>
      </w:pPr>
      <w:r w:rsidRPr="00F85C0E">
        <w:t>Значима фінансова компанія зобов’язана</w:t>
      </w:r>
      <w:r w:rsidR="00DF438A" w:rsidRPr="00F85C0E">
        <w:t xml:space="preserve"> листом поінформувати Національний банк про приведення своєї діяльності у відповідність до вимог</w:t>
      </w:r>
      <w:r w:rsidR="00686C39" w:rsidRPr="00F85C0E">
        <w:t xml:space="preserve"> до значимих фінансових компаній</w:t>
      </w:r>
      <w:r w:rsidR="00DF438A" w:rsidRPr="00F85C0E">
        <w:t xml:space="preserve"> до 15 липня року, в якому Національний банк</w:t>
      </w:r>
      <w:r w:rsidR="00FC3B7D" w:rsidRPr="00F85C0E">
        <w:t xml:space="preserve"> оп</w:t>
      </w:r>
      <w:r w:rsidR="00511528" w:rsidRPr="00F85C0E">
        <w:t>рилюднив</w:t>
      </w:r>
      <w:r w:rsidR="00FC3B7D" w:rsidRPr="00F85C0E">
        <w:t xml:space="preserve"> інформацію </w:t>
      </w:r>
      <w:r w:rsidR="00586793" w:rsidRPr="00F85C0E">
        <w:t>про визначення</w:t>
      </w:r>
      <w:r w:rsidR="00DF438A" w:rsidRPr="00F85C0E">
        <w:t xml:space="preserve"> </w:t>
      </w:r>
      <w:r w:rsidR="005E07D8" w:rsidRPr="00F85C0E">
        <w:t xml:space="preserve">такої </w:t>
      </w:r>
      <w:r w:rsidR="00DF438A" w:rsidRPr="00F85C0E">
        <w:t>фінансов</w:t>
      </w:r>
      <w:r w:rsidR="00FC3B7D" w:rsidRPr="00F85C0E">
        <w:t>ої</w:t>
      </w:r>
      <w:r w:rsidR="00DF438A" w:rsidRPr="00F85C0E">
        <w:t xml:space="preserve"> компані</w:t>
      </w:r>
      <w:r w:rsidR="00FC3B7D" w:rsidRPr="00F85C0E">
        <w:t>ї</w:t>
      </w:r>
      <w:r w:rsidR="00DF438A" w:rsidRPr="00F85C0E">
        <w:t xml:space="preserve"> значимою.</w:t>
      </w:r>
    </w:p>
    <w:p w14:paraId="7EFAA5B0" w14:textId="5072A166" w:rsidR="00586793" w:rsidRPr="00F85C0E" w:rsidRDefault="00586793" w:rsidP="00C30863">
      <w:pPr>
        <w:tabs>
          <w:tab w:val="left" w:pos="993"/>
        </w:tabs>
      </w:pPr>
    </w:p>
    <w:p w14:paraId="58A6A9EF" w14:textId="77777777" w:rsidR="00586793" w:rsidRPr="00F85C0E" w:rsidRDefault="00586793" w:rsidP="00C30863">
      <w:pPr>
        <w:tabs>
          <w:tab w:val="left" w:pos="993"/>
        </w:tabs>
        <w:sectPr w:rsidR="00586793" w:rsidRPr="00F85C0E" w:rsidSect="00805F50">
          <w:headerReference w:type="first" r:id="rId25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A541E5" w:rsidRPr="00F85C0E" w14:paraId="4BFB04BF" w14:textId="77777777" w:rsidTr="000A6A9E">
        <w:trPr>
          <w:jc w:val="right"/>
        </w:trPr>
        <w:tc>
          <w:tcPr>
            <w:tcW w:w="4106" w:type="dxa"/>
          </w:tcPr>
          <w:p w14:paraId="7555BB89" w14:textId="2EBC3B8B" w:rsidR="00A541E5" w:rsidRPr="00F85C0E" w:rsidRDefault="00A541E5" w:rsidP="00A541E5">
            <w:pPr>
              <w:tabs>
                <w:tab w:val="left" w:pos="993"/>
              </w:tabs>
              <w:jc w:val="left"/>
            </w:pPr>
            <w:r w:rsidRPr="00F85C0E">
              <w:lastRenderedPageBreak/>
              <w:t>Додаток</w:t>
            </w:r>
          </w:p>
          <w:p w14:paraId="378ED412" w14:textId="590A9588" w:rsidR="000A6A9E" w:rsidRPr="00F85C0E" w:rsidRDefault="00A541E5" w:rsidP="000A6A9E">
            <w:pPr>
              <w:tabs>
                <w:tab w:val="left" w:pos="993"/>
              </w:tabs>
              <w:jc w:val="left"/>
              <w:rPr>
                <w:rFonts w:eastAsiaTheme="minorEastAsia"/>
                <w:lang w:eastAsia="en-US"/>
              </w:rPr>
            </w:pPr>
            <w:r w:rsidRPr="00F85C0E">
              <w:t xml:space="preserve">до </w:t>
            </w:r>
            <w:r w:rsidRPr="00F85C0E">
              <w:rPr>
                <w:rFonts w:eastAsiaTheme="minorEastAsia"/>
                <w:lang w:eastAsia="en-US"/>
              </w:rPr>
              <w:t>Положення про</w:t>
            </w:r>
            <w:r w:rsidR="00FE2F52" w:rsidRPr="00F85C0E">
              <w:rPr>
                <w:rFonts w:eastAsiaTheme="minorEastAsia"/>
                <w:lang w:eastAsia="en-US"/>
              </w:rPr>
              <w:t xml:space="preserve"> </w:t>
            </w:r>
            <w:r w:rsidR="00686B20" w:rsidRPr="00F85C0E">
              <w:rPr>
                <w:rFonts w:eastAsiaTheme="minorEastAsia"/>
                <w:lang w:eastAsia="en-US"/>
              </w:rPr>
              <w:t>критерії</w:t>
            </w:r>
            <w:r w:rsidR="00455782" w:rsidRPr="00F85C0E">
              <w:rPr>
                <w:rFonts w:eastAsiaTheme="minorEastAsia"/>
                <w:lang w:eastAsia="en-US"/>
              </w:rPr>
              <w:t xml:space="preserve">, за якими </w:t>
            </w:r>
            <w:r w:rsidRPr="00F85C0E">
              <w:rPr>
                <w:rFonts w:eastAsiaTheme="minorEastAsia"/>
                <w:lang w:eastAsia="en-US"/>
              </w:rPr>
              <w:t>визнач</w:t>
            </w:r>
            <w:r w:rsidR="00455782" w:rsidRPr="00F85C0E">
              <w:rPr>
                <w:rFonts w:eastAsiaTheme="minorEastAsia"/>
                <w:lang w:eastAsia="en-US"/>
              </w:rPr>
              <w:t>ається</w:t>
            </w:r>
            <w:r w:rsidRPr="00F85C0E">
              <w:rPr>
                <w:rFonts w:eastAsiaTheme="minorEastAsia"/>
                <w:lang w:eastAsia="en-US"/>
              </w:rPr>
              <w:t xml:space="preserve"> значим</w:t>
            </w:r>
            <w:r w:rsidR="00455782" w:rsidRPr="00F85C0E">
              <w:rPr>
                <w:rFonts w:eastAsiaTheme="minorEastAsia"/>
                <w:lang w:eastAsia="en-US"/>
              </w:rPr>
              <w:t>ість</w:t>
            </w:r>
            <w:r w:rsidRPr="00F85C0E">
              <w:rPr>
                <w:rFonts w:eastAsiaTheme="minorEastAsia"/>
                <w:lang w:eastAsia="en-US"/>
              </w:rPr>
              <w:t xml:space="preserve"> фінансов</w:t>
            </w:r>
            <w:r w:rsidR="00455782" w:rsidRPr="00F85C0E">
              <w:rPr>
                <w:rFonts w:eastAsiaTheme="minorEastAsia"/>
                <w:lang w:eastAsia="en-US"/>
              </w:rPr>
              <w:t>ої</w:t>
            </w:r>
            <w:r w:rsidRPr="00F85C0E">
              <w:rPr>
                <w:rFonts w:eastAsiaTheme="minorEastAsia"/>
                <w:lang w:eastAsia="en-US"/>
              </w:rPr>
              <w:t xml:space="preserve"> компані</w:t>
            </w:r>
            <w:r w:rsidR="00455782" w:rsidRPr="00F85C0E">
              <w:rPr>
                <w:rFonts w:eastAsiaTheme="minorEastAsia"/>
                <w:lang w:eastAsia="en-US"/>
              </w:rPr>
              <w:t>ї</w:t>
            </w:r>
          </w:p>
          <w:p w14:paraId="5981EF26" w14:textId="3637AF69" w:rsidR="00A541E5" w:rsidRPr="00F85C0E" w:rsidRDefault="000A6A9E" w:rsidP="000A6A9E">
            <w:pPr>
              <w:tabs>
                <w:tab w:val="left" w:pos="993"/>
              </w:tabs>
              <w:jc w:val="left"/>
              <w:rPr>
                <w:rFonts w:eastAsiaTheme="minorEastAsia"/>
                <w:lang w:eastAsia="en-US"/>
              </w:rPr>
            </w:pPr>
            <w:r w:rsidRPr="00F85C0E">
              <w:rPr>
                <w:rFonts w:eastAsiaTheme="minorEastAsia"/>
                <w:lang w:eastAsia="en-US"/>
              </w:rPr>
              <w:t xml:space="preserve">(пункт </w:t>
            </w:r>
            <w:r w:rsidR="00F95C58" w:rsidRPr="00F85C0E">
              <w:rPr>
                <w:rFonts w:eastAsiaTheme="minorEastAsia"/>
                <w:lang w:eastAsia="en-US"/>
              </w:rPr>
              <w:t>4</w:t>
            </w:r>
            <w:r w:rsidRPr="00F85C0E">
              <w:rPr>
                <w:rFonts w:eastAsiaTheme="minorEastAsia"/>
                <w:lang w:eastAsia="en-US"/>
              </w:rPr>
              <w:t>)</w:t>
            </w:r>
          </w:p>
          <w:p w14:paraId="5142734F" w14:textId="77777777" w:rsidR="005D551C" w:rsidRPr="00F85C0E" w:rsidRDefault="005D551C" w:rsidP="000A6A9E">
            <w:pPr>
              <w:tabs>
                <w:tab w:val="left" w:pos="993"/>
              </w:tabs>
              <w:jc w:val="left"/>
            </w:pPr>
          </w:p>
          <w:p w14:paraId="3AFB0BA8" w14:textId="281C1C99" w:rsidR="000A6A9E" w:rsidRPr="00F85C0E" w:rsidRDefault="000A6A9E" w:rsidP="000A6A9E">
            <w:pPr>
              <w:tabs>
                <w:tab w:val="left" w:pos="993"/>
              </w:tabs>
              <w:jc w:val="left"/>
            </w:pPr>
          </w:p>
        </w:tc>
      </w:tr>
    </w:tbl>
    <w:p w14:paraId="08556AD5" w14:textId="446A220C" w:rsidR="00CE2618" w:rsidRPr="00F85C0E" w:rsidRDefault="00CE2618" w:rsidP="00CE2618">
      <w:pPr>
        <w:tabs>
          <w:tab w:val="left" w:pos="993"/>
        </w:tabs>
        <w:jc w:val="center"/>
      </w:pPr>
      <w:r w:rsidRPr="00F85C0E">
        <w:t>Критерії</w:t>
      </w:r>
      <w:r w:rsidR="00455782" w:rsidRPr="00F85C0E">
        <w:t>, за якими</w:t>
      </w:r>
      <w:r w:rsidRPr="00F85C0E">
        <w:t xml:space="preserve"> визнач</w:t>
      </w:r>
      <w:r w:rsidR="00455782" w:rsidRPr="00F85C0E">
        <w:t>ається значимість</w:t>
      </w:r>
      <w:r w:rsidRPr="00F85C0E">
        <w:t xml:space="preserve"> фінансової компанії</w:t>
      </w:r>
    </w:p>
    <w:p w14:paraId="268BD7E2" w14:textId="77777777" w:rsidR="00686C39" w:rsidRPr="00F85C0E" w:rsidRDefault="00686C39" w:rsidP="000A6A9E">
      <w:pPr>
        <w:tabs>
          <w:tab w:val="left" w:pos="993"/>
        </w:tabs>
        <w:jc w:val="center"/>
      </w:pPr>
    </w:p>
    <w:p w14:paraId="29BFAF90" w14:textId="364141DB" w:rsidR="00F95C58" w:rsidRPr="00F85C0E" w:rsidRDefault="00F95C58" w:rsidP="00300F1F">
      <w:pPr>
        <w:pStyle w:val="af3"/>
        <w:numPr>
          <w:ilvl w:val="0"/>
          <w:numId w:val="17"/>
        </w:numPr>
        <w:ind w:left="0" w:firstLine="567"/>
      </w:pPr>
      <w:r w:rsidRPr="00F85C0E">
        <w:t>Критеріями</w:t>
      </w:r>
      <w:r w:rsidR="00455782" w:rsidRPr="00F85C0E">
        <w:t>, за якими визначається</w:t>
      </w:r>
      <w:r w:rsidR="00240C8E" w:rsidRPr="00F85C0E">
        <w:t xml:space="preserve"> </w:t>
      </w:r>
      <w:r w:rsidR="00FE2F52" w:rsidRPr="00F85C0E">
        <w:rPr>
          <w:rFonts w:eastAsiaTheme="minorEastAsia"/>
          <w:lang w:eastAsia="en-US"/>
        </w:rPr>
        <w:t>значим</w:t>
      </w:r>
      <w:r w:rsidR="00455782" w:rsidRPr="00F85C0E">
        <w:rPr>
          <w:rFonts w:eastAsiaTheme="minorEastAsia"/>
          <w:lang w:eastAsia="en-US"/>
        </w:rPr>
        <w:t>ість</w:t>
      </w:r>
      <w:r w:rsidR="00FE2F52" w:rsidRPr="00F85C0E">
        <w:rPr>
          <w:rFonts w:eastAsiaTheme="minorEastAsia"/>
          <w:lang w:eastAsia="en-US"/>
        </w:rPr>
        <w:t xml:space="preserve"> фінансов</w:t>
      </w:r>
      <w:r w:rsidR="00455782" w:rsidRPr="00F85C0E">
        <w:rPr>
          <w:rFonts w:eastAsiaTheme="minorEastAsia"/>
          <w:lang w:eastAsia="en-US"/>
        </w:rPr>
        <w:t>ої</w:t>
      </w:r>
      <w:r w:rsidR="00FE2F52" w:rsidRPr="00F85C0E">
        <w:rPr>
          <w:rFonts w:eastAsiaTheme="minorEastAsia"/>
          <w:lang w:eastAsia="en-US"/>
        </w:rPr>
        <w:t xml:space="preserve"> компані</w:t>
      </w:r>
      <w:r w:rsidR="00455782" w:rsidRPr="00F85C0E">
        <w:rPr>
          <w:rFonts w:eastAsiaTheme="minorEastAsia"/>
          <w:lang w:eastAsia="en-US"/>
        </w:rPr>
        <w:t>ї</w:t>
      </w:r>
      <w:r w:rsidR="00FE2F52" w:rsidRPr="00F85C0E">
        <w:rPr>
          <w:rFonts w:eastAsiaTheme="minorEastAsia"/>
          <w:lang w:eastAsia="en-US"/>
        </w:rPr>
        <w:t>,</w:t>
      </w:r>
      <w:r w:rsidR="00CE2618" w:rsidRPr="00F85C0E">
        <w:t xml:space="preserve"> </w:t>
      </w:r>
      <w:r w:rsidRPr="00F85C0E">
        <w:t>є:</w:t>
      </w:r>
    </w:p>
    <w:p w14:paraId="4E0DDF19" w14:textId="77777777" w:rsidR="00FE2F52" w:rsidRPr="00F85C0E" w:rsidRDefault="00FE2F52" w:rsidP="00FE2F52">
      <w:pPr>
        <w:pStyle w:val="af3"/>
        <w:ind w:left="567"/>
      </w:pPr>
    </w:p>
    <w:p w14:paraId="61F88EEB" w14:textId="7FC842BD" w:rsidR="000A6A9E" w:rsidRPr="00F85C0E" w:rsidRDefault="000A6A9E" w:rsidP="00300F1F">
      <w:pPr>
        <w:pStyle w:val="af3"/>
        <w:numPr>
          <w:ilvl w:val="0"/>
          <w:numId w:val="18"/>
        </w:numPr>
        <w:tabs>
          <w:tab w:val="left" w:pos="993"/>
        </w:tabs>
        <w:ind w:left="0" w:firstLine="567"/>
        <w:rPr>
          <w:rFonts w:eastAsiaTheme="minorEastAsia"/>
          <w:lang w:eastAsia="en-US"/>
        </w:rPr>
      </w:pPr>
      <w:r w:rsidRPr="00F85C0E">
        <w:t>значення показника діяльності фінансової компанії</w:t>
      </w:r>
      <w:r w:rsidR="0083567A" w:rsidRPr="00F85C0E">
        <w:t xml:space="preserve"> становить не менше п’яти [розраховується </w:t>
      </w:r>
      <w:r w:rsidR="00686C39" w:rsidRPr="00F85C0E">
        <w:t xml:space="preserve">за сумою індикаторів, </w:t>
      </w:r>
      <w:r w:rsidR="00487281" w:rsidRPr="00F85C0E">
        <w:t>визначених в таблиці</w:t>
      </w:r>
      <w:r w:rsidR="00246FB0" w:rsidRPr="00F85C0E">
        <w:t xml:space="preserve"> підпункту 1 пункту 1 додатка до </w:t>
      </w:r>
      <w:r w:rsidR="00246FB0" w:rsidRPr="00F85C0E">
        <w:rPr>
          <w:rFonts w:eastAsiaTheme="minorEastAsia"/>
          <w:lang w:eastAsia="en-US"/>
        </w:rPr>
        <w:t>Положення</w:t>
      </w:r>
      <w:r w:rsidR="00837043" w:rsidRPr="00F85C0E">
        <w:rPr>
          <w:rFonts w:eastAsiaTheme="minorEastAsia"/>
          <w:lang w:eastAsia="en-US"/>
        </w:rPr>
        <w:t xml:space="preserve"> про критерії, за якими визначається значимість фінансової компанії</w:t>
      </w:r>
      <w:r w:rsidR="00487281" w:rsidRPr="00F85C0E">
        <w:t xml:space="preserve">, </w:t>
      </w:r>
      <w:r w:rsidRPr="00F85C0E">
        <w:t xml:space="preserve">за даними звітності за 12 місяців: останнього кварталу попереднього року та </w:t>
      </w:r>
      <w:r w:rsidR="004C2BC1" w:rsidRPr="00F85C0E">
        <w:t xml:space="preserve">дев’яти </w:t>
      </w:r>
      <w:r w:rsidRPr="00F85C0E">
        <w:t>місяців поточного року (за весь період діяльності, що передує даті оцінці, якщо фінансова компанія розпочала діяльність після початку року), що подається фінансовою компанією до Національного банку</w:t>
      </w:r>
      <w:r w:rsidR="00246FB0" w:rsidRPr="00F85C0E">
        <w:t xml:space="preserve"> у відповідності до Правил складання та подання звітності учасниками ринку небанківських фінансових послуг до Національного банку України, затверджених </w:t>
      </w:r>
      <w:r w:rsidR="00246FB0" w:rsidRPr="00F85C0E">
        <w:rPr>
          <w:bCs/>
        </w:rPr>
        <w:t>постановою Правління Національного банку України від 25 листопада 2021 року № 123 (зі змінами)</w:t>
      </w:r>
      <w:r w:rsidR="00246FB0" w:rsidRPr="00F85C0E">
        <w:t xml:space="preserve">, Правил подання звітності про активні операції, затверджених </w:t>
      </w:r>
      <w:r w:rsidR="00246FB0" w:rsidRPr="00F85C0E">
        <w:rPr>
          <w:bCs/>
        </w:rPr>
        <w:t>постановою Правління Національного банку України від 18 січня 2024 року № 9 та іншої звітності, що подається фінансовою компанією на вимогу Національного банку,</w:t>
      </w:r>
      <w:r w:rsidR="00FE2F52" w:rsidRPr="00F85C0E">
        <w:t xml:space="preserve"> за формулою:</w:t>
      </w:r>
    </w:p>
    <w:p w14:paraId="000456F8" w14:textId="4DCBDD1D" w:rsidR="00A70FD9" w:rsidRPr="00F85C0E" w:rsidRDefault="00220BDD" w:rsidP="00A70FD9">
      <w:pPr>
        <w:shd w:val="clear" w:color="auto" w:fill="FFFFFF"/>
        <w:ind w:firstLine="567"/>
        <w:rPr>
          <w:i/>
          <w:color w:val="000000" w:themeColor="text1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</w:rPr>
            <m:t>З=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j</m:t>
              </m:r>
              <m:r>
                <w:rPr>
                  <w:rFonts w:ascii="Cambria Math" w:hAnsi="Cambria Math"/>
                  <w:color w:val="000000" w:themeColor="text1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color w:val="000000" w:themeColor="text1"/>
                </w:rPr>
                <m:t>8</m:t>
              </m:r>
            </m:sup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І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 xml:space="preserve">j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*w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 xml:space="preserve">j </m:t>
                  </m:r>
                </m:sub>
              </m:sSub>
            </m:e>
          </m:nary>
          <m:r>
            <w:rPr>
              <w:rFonts w:ascii="Cambria Math" w:hAnsi="Cambria Math"/>
              <w:color w:val="000000" w:themeColor="text1"/>
            </w:rPr>
            <m:t>*10,</m:t>
          </m:r>
        </m:oMath>
      </m:oMathPara>
    </w:p>
    <w:p w14:paraId="4189161A" w14:textId="46A6AF8C" w:rsidR="00A70FD9" w:rsidRPr="00F85C0E" w:rsidRDefault="00A70FD9" w:rsidP="00A70FD9">
      <w:pPr>
        <w:shd w:val="clear" w:color="auto" w:fill="FFFFFF"/>
        <w:jc w:val="left"/>
        <w:rPr>
          <w:color w:val="000000" w:themeColor="text1"/>
        </w:rPr>
      </w:pPr>
      <w:r w:rsidRPr="00F85C0E">
        <w:rPr>
          <w:color w:val="000000" w:themeColor="text1"/>
        </w:rPr>
        <w:t xml:space="preserve">де </w:t>
      </w:r>
      <m:oMath>
        <m:r>
          <w:rPr>
            <w:rFonts w:ascii="Cambria Math" w:hAnsi="Cambria Math"/>
            <w:color w:val="000000" w:themeColor="text1"/>
          </w:rPr>
          <m:t>З</m:t>
        </m:r>
      </m:oMath>
      <w:r w:rsidRPr="00F85C0E">
        <w:rPr>
          <w:color w:val="000000" w:themeColor="text1"/>
        </w:rPr>
        <w:t xml:space="preserve"> –</w:t>
      </w:r>
      <w:r w:rsidR="00847FD3" w:rsidRPr="00F85C0E">
        <w:rPr>
          <w:color w:val="000000" w:themeColor="text1"/>
        </w:rPr>
        <w:t xml:space="preserve"> показник</w:t>
      </w:r>
      <w:r w:rsidRPr="00F85C0E">
        <w:rPr>
          <w:color w:val="000000" w:themeColor="text1"/>
        </w:rPr>
        <w:t xml:space="preserve"> </w:t>
      </w:r>
      <w:r w:rsidR="00F43857" w:rsidRPr="00F85C0E">
        <w:rPr>
          <w:color w:val="000000" w:themeColor="text1"/>
        </w:rPr>
        <w:t>діяльності фінансової компанії</w:t>
      </w:r>
      <w:r w:rsidRPr="00F85C0E">
        <w:rPr>
          <w:color w:val="000000" w:themeColor="text1"/>
        </w:rPr>
        <w:t>;</w:t>
      </w:r>
    </w:p>
    <w:p w14:paraId="2E09DD19" w14:textId="624A323E" w:rsidR="00F43857" w:rsidRPr="00F85C0E" w:rsidRDefault="001C7A9F" w:rsidP="00F43857">
      <w:pPr>
        <w:shd w:val="clear" w:color="auto" w:fill="FFFFFF"/>
        <w:ind w:firstLine="567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j </m:t>
            </m:r>
          </m:sub>
        </m:sSub>
      </m:oMath>
      <w:r w:rsidR="00A70FD9" w:rsidRPr="00F85C0E">
        <w:rPr>
          <w:color w:val="000000" w:themeColor="text1"/>
        </w:rPr>
        <w:t xml:space="preserve"> – частка j-ого індикатора </w:t>
      </w:r>
      <w:r w:rsidR="00F43857" w:rsidRPr="00F85C0E">
        <w:rPr>
          <w:color w:val="000000" w:themeColor="text1"/>
        </w:rPr>
        <w:t>фінансової компанії</w:t>
      </w:r>
      <w:r w:rsidR="00A70FD9" w:rsidRPr="00F85C0E">
        <w:rPr>
          <w:color w:val="000000" w:themeColor="text1"/>
        </w:rPr>
        <w:t xml:space="preserve"> в загальному значенні j-ого індикатора в системі </w:t>
      </w:r>
      <w:r w:rsidR="00F43857" w:rsidRPr="00F85C0E">
        <w:rPr>
          <w:color w:val="000000" w:themeColor="text1"/>
        </w:rPr>
        <w:t>фінансових компаній</w:t>
      </w:r>
      <w:r w:rsidR="00A70FD9" w:rsidRPr="00F85C0E">
        <w:rPr>
          <w:color w:val="000000" w:themeColor="text1"/>
        </w:rPr>
        <w:t>;</w:t>
      </w:r>
    </w:p>
    <w:p w14:paraId="04513752" w14:textId="1EA4CFDA" w:rsidR="00A70FD9" w:rsidRPr="00F85C0E" w:rsidRDefault="001C7A9F" w:rsidP="00F43857">
      <w:pPr>
        <w:shd w:val="clear" w:color="auto" w:fill="FFFFFF"/>
        <w:ind w:firstLine="567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j </m:t>
            </m:r>
          </m:sub>
        </m:sSub>
      </m:oMath>
      <w:r w:rsidR="00A70FD9" w:rsidRPr="00F85C0E">
        <w:rPr>
          <w:color w:val="000000" w:themeColor="text1"/>
        </w:rPr>
        <w:t xml:space="preserve"> – коефіцієнт зважування </w:t>
      </w:r>
      <w:r w:rsidR="00F43857" w:rsidRPr="00F85C0E">
        <w:rPr>
          <w:color w:val="000000" w:themeColor="text1"/>
        </w:rPr>
        <w:t>j-ого індикатора фінансової компанії</w:t>
      </w:r>
      <w:r w:rsidR="0083567A" w:rsidRPr="00F85C0E">
        <w:t>]</w:t>
      </w:r>
      <w:r w:rsidR="00D6698E" w:rsidRPr="00F85C0E">
        <w:rPr>
          <w:color w:val="000000" w:themeColor="text1"/>
        </w:rPr>
        <w:t>.</w:t>
      </w:r>
    </w:p>
    <w:p w14:paraId="178FA5B7" w14:textId="77777777" w:rsidR="000A6A9E" w:rsidRPr="00F85C0E" w:rsidRDefault="000A6A9E" w:rsidP="000A6A9E">
      <w:pPr>
        <w:pStyle w:val="af3"/>
        <w:ind w:left="567"/>
      </w:pPr>
    </w:p>
    <w:p w14:paraId="1E296BAD" w14:textId="64B3E28C" w:rsidR="000A6A9E" w:rsidRPr="00F85C0E" w:rsidRDefault="000A6A9E" w:rsidP="000A6A9E">
      <w:pPr>
        <w:pStyle w:val="af3"/>
        <w:ind w:left="567" w:right="566"/>
        <w:jc w:val="right"/>
        <w:rPr>
          <w:bCs/>
        </w:rPr>
      </w:pPr>
      <w:r w:rsidRPr="00F85C0E">
        <w:rPr>
          <w:bCs/>
        </w:rPr>
        <w:t>Таблиця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06"/>
        <w:gridCol w:w="6059"/>
        <w:gridCol w:w="2168"/>
      </w:tblGrid>
      <w:tr w:rsidR="001102E7" w:rsidRPr="00F85C0E" w14:paraId="6AA43915" w14:textId="77777777" w:rsidTr="005A42C3">
        <w:tc>
          <w:tcPr>
            <w:tcW w:w="1418" w:type="dxa"/>
          </w:tcPr>
          <w:p w14:paraId="26DA4E28" w14:textId="3D34A306" w:rsidR="001102E7" w:rsidRPr="00F85C0E" w:rsidRDefault="001102E7" w:rsidP="00722888">
            <w:pPr>
              <w:pStyle w:val="af3"/>
              <w:ind w:left="0" w:right="566"/>
              <w:rPr>
                <w:bCs/>
              </w:rPr>
            </w:pPr>
            <w:r w:rsidRPr="00F85C0E">
              <w:t>№ з/п</w:t>
            </w:r>
          </w:p>
        </w:tc>
        <w:tc>
          <w:tcPr>
            <w:tcW w:w="6237" w:type="dxa"/>
          </w:tcPr>
          <w:p w14:paraId="1FF522FC" w14:textId="329776FA" w:rsidR="001102E7" w:rsidRPr="00F85C0E" w:rsidRDefault="001102E7" w:rsidP="00722888">
            <w:pPr>
              <w:pStyle w:val="af3"/>
              <w:ind w:left="-250" w:right="566"/>
              <w:jc w:val="center"/>
              <w:rPr>
                <w:bCs/>
              </w:rPr>
            </w:pPr>
            <w:r w:rsidRPr="00F85C0E">
              <w:t>Індикатор (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І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 xml:space="preserve">j </m:t>
                  </m:r>
                </m:sub>
              </m:sSub>
            </m:oMath>
            <w:r w:rsidRPr="00F85C0E">
              <w:t>)</w:t>
            </w:r>
          </w:p>
        </w:tc>
        <w:tc>
          <w:tcPr>
            <w:tcW w:w="1978" w:type="dxa"/>
          </w:tcPr>
          <w:p w14:paraId="31E58C46" w14:textId="69F8084C" w:rsidR="001102E7" w:rsidRPr="00F85C0E" w:rsidRDefault="001102E7" w:rsidP="009009A9">
            <w:pPr>
              <w:pStyle w:val="af3"/>
              <w:ind w:left="0" w:right="566"/>
              <w:jc w:val="center"/>
            </w:pPr>
            <w:r w:rsidRPr="00F85C0E">
              <w:t xml:space="preserve">Коефіцієнт зважування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 xml:space="preserve">j </m:t>
                  </m:r>
                </m:sub>
              </m:sSub>
            </m:oMath>
            <w:r w:rsidRPr="00F85C0E">
              <w:t>%</w:t>
            </w:r>
          </w:p>
          <w:p w14:paraId="1A4BD7D8" w14:textId="648087C5" w:rsidR="005A42C3" w:rsidRPr="00F85C0E" w:rsidRDefault="005A42C3" w:rsidP="005A42C3">
            <w:pPr>
              <w:pStyle w:val="af3"/>
              <w:ind w:left="0" w:right="566"/>
              <w:jc w:val="center"/>
              <w:rPr>
                <w:bCs/>
              </w:rPr>
            </w:pPr>
          </w:p>
        </w:tc>
      </w:tr>
    </w:tbl>
    <w:p w14:paraId="6407051A" w14:textId="77777777" w:rsidR="001102E7" w:rsidRPr="00F85C0E" w:rsidRDefault="001102E7" w:rsidP="001102E7">
      <w:pPr>
        <w:pStyle w:val="af3"/>
        <w:ind w:left="567" w:right="566"/>
        <w:rPr>
          <w:bCs/>
          <w:sz w:val="2"/>
          <w:szCs w:val="2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387"/>
        <w:gridCol w:w="6126"/>
        <w:gridCol w:w="2126"/>
      </w:tblGrid>
      <w:tr w:rsidR="000A6A9E" w:rsidRPr="00F85C0E" w14:paraId="38198747" w14:textId="77777777" w:rsidTr="005A42C3">
        <w:trPr>
          <w:trHeight w:val="53"/>
          <w:tblHeader/>
        </w:trPr>
        <w:tc>
          <w:tcPr>
            <w:tcW w:w="1387" w:type="dxa"/>
          </w:tcPr>
          <w:p w14:paraId="0162CC6A" w14:textId="77777777" w:rsidR="000A6A9E" w:rsidRPr="00F85C0E" w:rsidRDefault="000A6A9E" w:rsidP="002C0698">
            <w:pPr>
              <w:pStyle w:val="af3"/>
              <w:ind w:left="0"/>
              <w:jc w:val="center"/>
            </w:pPr>
            <w:r w:rsidRPr="00F85C0E">
              <w:t>1</w:t>
            </w:r>
          </w:p>
        </w:tc>
        <w:tc>
          <w:tcPr>
            <w:tcW w:w="6126" w:type="dxa"/>
          </w:tcPr>
          <w:p w14:paraId="4648B08F" w14:textId="77777777" w:rsidR="000A6A9E" w:rsidRPr="00F85C0E" w:rsidRDefault="000A6A9E" w:rsidP="002C0698">
            <w:pPr>
              <w:pStyle w:val="af3"/>
              <w:ind w:left="0"/>
              <w:jc w:val="center"/>
            </w:pPr>
            <w:r w:rsidRPr="00F85C0E">
              <w:t>2</w:t>
            </w:r>
          </w:p>
        </w:tc>
        <w:tc>
          <w:tcPr>
            <w:tcW w:w="2126" w:type="dxa"/>
          </w:tcPr>
          <w:p w14:paraId="6DAA44AD" w14:textId="77777777" w:rsidR="000A6A9E" w:rsidRPr="00F85C0E" w:rsidRDefault="000A6A9E" w:rsidP="002C0698">
            <w:pPr>
              <w:pStyle w:val="af3"/>
              <w:ind w:left="0"/>
              <w:jc w:val="center"/>
            </w:pPr>
            <w:r w:rsidRPr="00F85C0E">
              <w:t>3</w:t>
            </w:r>
          </w:p>
        </w:tc>
      </w:tr>
      <w:tr w:rsidR="000A6A9E" w:rsidRPr="00F85C0E" w14:paraId="3857EE95" w14:textId="77777777" w:rsidTr="005A42C3">
        <w:tc>
          <w:tcPr>
            <w:tcW w:w="1387" w:type="dxa"/>
          </w:tcPr>
          <w:p w14:paraId="46676DF5" w14:textId="77777777" w:rsidR="000A6A9E" w:rsidRPr="00F85C0E" w:rsidRDefault="000A6A9E" w:rsidP="002C0698">
            <w:pPr>
              <w:pStyle w:val="af3"/>
              <w:ind w:left="0"/>
              <w:jc w:val="left"/>
            </w:pPr>
            <w:r w:rsidRPr="00F85C0E">
              <w:t>1</w:t>
            </w:r>
          </w:p>
        </w:tc>
        <w:tc>
          <w:tcPr>
            <w:tcW w:w="6126" w:type="dxa"/>
          </w:tcPr>
          <w:p w14:paraId="08F22E91" w14:textId="278E5C31" w:rsidR="000A6A9E" w:rsidRPr="00F85C0E" w:rsidRDefault="000A6A9E" w:rsidP="00544233">
            <w:pPr>
              <w:pStyle w:val="af3"/>
              <w:ind w:left="0"/>
            </w:pPr>
            <w:r w:rsidRPr="00F85C0E">
              <w:t>Обсяг активів фінансової компанії та позабалансових зобов’язань станом на звітну дату</w:t>
            </w:r>
            <w:r w:rsidR="00B62349" w:rsidRPr="00F85C0E">
              <w:t xml:space="preserve"> за даними</w:t>
            </w:r>
            <w:r w:rsidRPr="00F85C0E">
              <w:t xml:space="preserve"> звітності за </w:t>
            </w:r>
            <w:r w:rsidR="00544233" w:rsidRPr="00F85C0E">
              <w:t xml:space="preserve">12 </w:t>
            </w:r>
            <w:r w:rsidRPr="00F85C0E">
              <w:t>місяців</w:t>
            </w:r>
            <w:r w:rsidR="00FF2766" w:rsidRPr="00F85C0E">
              <w:t xml:space="preserve"> </w:t>
            </w:r>
            <w:r w:rsidR="00D03B8F" w:rsidRPr="00F85C0E">
              <w:t>[</w:t>
            </w:r>
            <w:r w:rsidR="00FF2766" w:rsidRPr="00F85C0E">
              <w:t xml:space="preserve">за </w:t>
            </w:r>
            <w:r w:rsidR="00FF2766" w:rsidRPr="00F85C0E">
              <w:lastRenderedPageBreak/>
              <w:t>виключенням активів та позабалансових зобов’язань фінансових компаній у яких 50 і більше відсотків акцій (часток) належать державі</w:t>
            </w:r>
            <w:r w:rsidR="00D03B8F" w:rsidRPr="00F85C0E">
              <w:t>]</w:t>
            </w:r>
          </w:p>
        </w:tc>
        <w:tc>
          <w:tcPr>
            <w:tcW w:w="2126" w:type="dxa"/>
          </w:tcPr>
          <w:p w14:paraId="4DF12CFE" w14:textId="77777777" w:rsidR="000A6A9E" w:rsidRPr="00F85C0E" w:rsidRDefault="000A6A9E" w:rsidP="002C0698">
            <w:pPr>
              <w:pStyle w:val="af3"/>
              <w:ind w:left="0"/>
              <w:jc w:val="center"/>
            </w:pPr>
            <w:r w:rsidRPr="00F85C0E">
              <w:lastRenderedPageBreak/>
              <w:t>30</w:t>
            </w:r>
          </w:p>
        </w:tc>
      </w:tr>
      <w:tr w:rsidR="00220BDD" w:rsidRPr="00F85C0E" w14:paraId="6E9734F7" w14:textId="77777777" w:rsidTr="005A42C3">
        <w:tc>
          <w:tcPr>
            <w:tcW w:w="1387" w:type="dxa"/>
          </w:tcPr>
          <w:p w14:paraId="74CBE811" w14:textId="16B51EC5" w:rsidR="00220BDD" w:rsidRPr="00F85C0E" w:rsidRDefault="00CF5740" w:rsidP="002C0698">
            <w:pPr>
              <w:pStyle w:val="af3"/>
              <w:ind w:left="0"/>
              <w:jc w:val="left"/>
            </w:pPr>
            <w:r w:rsidRPr="00F85C0E">
              <w:t>2</w:t>
            </w:r>
          </w:p>
        </w:tc>
        <w:tc>
          <w:tcPr>
            <w:tcW w:w="6126" w:type="dxa"/>
          </w:tcPr>
          <w:p w14:paraId="4D92D248" w14:textId="1EC0B76B" w:rsidR="00220BDD" w:rsidRPr="00F85C0E" w:rsidRDefault="00220BDD" w:rsidP="00FF2766">
            <w:pPr>
              <w:pStyle w:val="af3"/>
              <w:ind w:left="0"/>
            </w:pPr>
            <w:r w:rsidRPr="00F85C0E">
              <w:t xml:space="preserve">Обсяг </w:t>
            </w:r>
            <w:r w:rsidR="009525FB" w:rsidRPr="00F85C0E">
              <w:t>наданих фінансових</w:t>
            </w:r>
            <w:r w:rsidRPr="00F85C0E">
              <w:t xml:space="preserve"> послуг</w:t>
            </w:r>
            <w:r w:rsidR="00B62349" w:rsidRPr="00F85C0E">
              <w:t xml:space="preserve"> фізичним особам</w:t>
            </w:r>
            <w:r w:rsidRPr="00F85C0E">
              <w:t xml:space="preserve"> з </w:t>
            </w:r>
            <w:r w:rsidRPr="00F85C0E">
              <w:rPr>
                <w:color w:val="333333"/>
                <w:shd w:val="clear" w:color="auto" w:fill="FFFFFF"/>
              </w:rPr>
              <w:t>надання коштів та банківських металів у кредит</w:t>
            </w:r>
            <w:r w:rsidR="00B62349" w:rsidRPr="00F85C0E">
              <w:rPr>
                <w:color w:val="333333"/>
                <w:shd w:val="clear" w:color="auto" w:fill="FFFFFF"/>
              </w:rPr>
              <w:t xml:space="preserve"> </w:t>
            </w:r>
            <w:r w:rsidR="00B62349" w:rsidRPr="00F85C0E">
              <w:t>станом на звітну дату за даними звітності за 12 місяців</w:t>
            </w:r>
            <w:r w:rsidR="00FF2766" w:rsidRPr="00F85C0E">
              <w:t xml:space="preserve"> </w:t>
            </w:r>
            <w:r w:rsidR="00D03B8F" w:rsidRPr="00F85C0E">
              <w:t>[</w:t>
            </w:r>
            <w:r w:rsidR="00FF2766" w:rsidRPr="00F85C0E">
              <w:t xml:space="preserve">за виключенням обсягів наданих фінансових послуг фізичним особам з </w:t>
            </w:r>
            <w:r w:rsidR="00FF2766" w:rsidRPr="00F85C0E">
              <w:rPr>
                <w:color w:val="333333"/>
                <w:shd w:val="clear" w:color="auto" w:fill="FFFFFF"/>
              </w:rPr>
              <w:t>надання коштів та банківських металів у кредит</w:t>
            </w:r>
            <w:r w:rsidR="00FF2766" w:rsidRPr="00F85C0E">
              <w:t xml:space="preserve"> фінансовими компаніями у яких 50 і більше відсотків акцій (часток) належать державі</w:t>
            </w:r>
            <w:r w:rsidR="00D03B8F" w:rsidRPr="00F85C0E">
              <w:t>]</w:t>
            </w:r>
          </w:p>
        </w:tc>
        <w:tc>
          <w:tcPr>
            <w:tcW w:w="2126" w:type="dxa"/>
          </w:tcPr>
          <w:p w14:paraId="1499E29C" w14:textId="77777777" w:rsidR="00220BDD" w:rsidRPr="00F85C0E" w:rsidRDefault="00220BDD" w:rsidP="002C0698">
            <w:pPr>
              <w:pStyle w:val="af3"/>
              <w:ind w:left="0"/>
              <w:jc w:val="center"/>
            </w:pPr>
            <w:r w:rsidRPr="00F85C0E">
              <w:t>10</w:t>
            </w:r>
          </w:p>
        </w:tc>
      </w:tr>
      <w:tr w:rsidR="00B62349" w:rsidRPr="00F85C0E" w14:paraId="7EEC6C8B" w14:textId="77777777" w:rsidTr="005A42C3">
        <w:tc>
          <w:tcPr>
            <w:tcW w:w="1387" w:type="dxa"/>
          </w:tcPr>
          <w:p w14:paraId="6FF8ED14" w14:textId="391C7BF0" w:rsidR="00B62349" w:rsidRPr="00F85C0E" w:rsidRDefault="00B62349" w:rsidP="002C0698">
            <w:pPr>
              <w:pStyle w:val="af3"/>
              <w:ind w:left="0"/>
              <w:jc w:val="left"/>
            </w:pPr>
            <w:r w:rsidRPr="00F85C0E">
              <w:t>3</w:t>
            </w:r>
          </w:p>
        </w:tc>
        <w:tc>
          <w:tcPr>
            <w:tcW w:w="6126" w:type="dxa"/>
          </w:tcPr>
          <w:p w14:paraId="3BAC18D8" w14:textId="44AC74DB" w:rsidR="00B62349" w:rsidRPr="00F85C0E" w:rsidRDefault="00B62349" w:rsidP="00D03B8F">
            <w:pPr>
              <w:pStyle w:val="af3"/>
              <w:ind w:left="0"/>
            </w:pPr>
            <w:r w:rsidRPr="00F85C0E">
              <w:t xml:space="preserve">Обсяг наданих фінансових послуг </w:t>
            </w:r>
            <w:r w:rsidR="0004190F" w:rsidRPr="00F85C0E">
              <w:t>юрид</w:t>
            </w:r>
            <w:r w:rsidRPr="00F85C0E">
              <w:t xml:space="preserve">ичним особам з </w:t>
            </w:r>
            <w:r w:rsidRPr="00F85C0E">
              <w:rPr>
                <w:color w:val="333333"/>
                <w:shd w:val="clear" w:color="auto" w:fill="FFFFFF"/>
              </w:rPr>
              <w:t xml:space="preserve">надання коштів та банківських металів у кредит </w:t>
            </w:r>
            <w:r w:rsidRPr="00F85C0E">
              <w:t>станом на звітну дату за даними звітності за 12 місяців</w:t>
            </w:r>
            <w:r w:rsidR="00D03B8F" w:rsidRPr="00F85C0E">
              <w:t xml:space="preserve"> [за виключенням обсягів наданих фінансових послуг юридичним особам з </w:t>
            </w:r>
            <w:r w:rsidR="00D03B8F" w:rsidRPr="00F85C0E">
              <w:rPr>
                <w:color w:val="333333"/>
                <w:shd w:val="clear" w:color="auto" w:fill="FFFFFF"/>
              </w:rPr>
              <w:t>надання коштів та банківських металів у кредит</w:t>
            </w:r>
            <w:r w:rsidR="00D03B8F" w:rsidRPr="00F85C0E">
              <w:t xml:space="preserve"> фінансовими компаніями у яких 50 і більше відсотків акцій (часток) належать державі]</w:t>
            </w:r>
          </w:p>
        </w:tc>
        <w:tc>
          <w:tcPr>
            <w:tcW w:w="2126" w:type="dxa"/>
          </w:tcPr>
          <w:p w14:paraId="5441E49E" w14:textId="7AC897A3" w:rsidR="00B62349" w:rsidRPr="00F85C0E" w:rsidRDefault="00B62349" w:rsidP="002C0698">
            <w:pPr>
              <w:pStyle w:val="af3"/>
              <w:ind w:left="0"/>
              <w:jc w:val="center"/>
            </w:pPr>
            <w:r w:rsidRPr="00F85C0E">
              <w:t>10</w:t>
            </w:r>
          </w:p>
        </w:tc>
      </w:tr>
      <w:tr w:rsidR="00220BDD" w:rsidRPr="00F85C0E" w14:paraId="6E853E30" w14:textId="77777777" w:rsidTr="005A42C3">
        <w:tc>
          <w:tcPr>
            <w:tcW w:w="1387" w:type="dxa"/>
          </w:tcPr>
          <w:p w14:paraId="39D7CDB5" w14:textId="3F1BC9DD" w:rsidR="00220BDD" w:rsidRPr="00F85C0E" w:rsidRDefault="00B62349" w:rsidP="002C0698">
            <w:pPr>
              <w:pStyle w:val="af3"/>
              <w:ind w:left="0"/>
              <w:jc w:val="left"/>
            </w:pPr>
            <w:r w:rsidRPr="00F85C0E">
              <w:t>4</w:t>
            </w:r>
          </w:p>
        </w:tc>
        <w:tc>
          <w:tcPr>
            <w:tcW w:w="6126" w:type="dxa"/>
          </w:tcPr>
          <w:p w14:paraId="26FB7AD6" w14:textId="2FEBE25F" w:rsidR="00220BDD" w:rsidRPr="00F85C0E" w:rsidRDefault="00220BDD" w:rsidP="00D03B8F">
            <w:pPr>
              <w:pStyle w:val="af3"/>
              <w:ind w:left="0"/>
            </w:pPr>
            <w:r w:rsidRPr="00F85C0E">
              <w:t xml:space="preserve">Обсяг </w:t>
            </w:r>
            <w:r w:rsidR="00B62349" w:rsidRPr="00F85C0E">
              <w:t xml:space="preserve">наданих </w:t>
            </w:r>
            <w:r w:rsidRPr="00F85C0E">
              <w:t xml:space="preserve">послуг з </w:t>
            </w:r>
            <w:r w:rsidRPr="00F85C0E">
              <w:rPr>
                <w:color w:val="333333"/>
                <w:shd w:val="clear" w:color="auto" w:fill="FFFFFF"/>
              </w:rPr>
              <w:t>фінансового лізингу</w:t>
            </w:r>
            <w:r w:rsidR="00B62349" w:rsidRPr="00F85C0E">
              <w:rPr>
                <w:color w:val="333333"/>
                <w:shd w:val="clear" w:color="auto" w:fill="FFFFFF"/>
              </w:rPr>
              <w:t xml:space="preserve"> </w:t>
            </w:r>
            <w:r w:rsidR="00B62349" w:rsidRPr="00F85C0E">
              <w:t>станом на звітну дату за даними звітності за 12 місяців</w:t>
            </w:r>
            <w:r w:rsidR="00D03B8F" w:rsidRPr="00F85C0E">
              <w:t xml:space="preserve"> [за виключенням наданих послуг з </w:t>
            </w:r>
            <w:r w:rsidR="00D03B8F" w:rsidRPr="00F85C0E">
              <w:rPr>
                <w:color w:val="333333"/>
                <w:shd w:val="clear" w:color="auto" w:fill="FFFFFF"/>
              </w:rPr>
              <w:t>фінансового лізингу</w:t>
            </w:r>
            <w:r w:rsidR="00D03B8F" w:rsidRPr="00F85C0E">
              <w:t xml:space="preserve"> фінансовими компаніями у яких 50 і більше відсотків акцій (часток) належать державі]</w:t>
            </w:r>
          </w:p>
        </w:tc>
        <w:tc>
          <w:tcPr>
            <w:tcW w:w="2126" w:type="dxa"/>
          </w:tcPr>
          <w:p w14:paraId="18A434AB" w14:textId="77777777" w:rsidR="00220BDD" w:rsidRPr="00F85C0E" w:rsidRDefault="00220BDD" w:rsidP="002C0698">
            <w:pPr>
              <w:pStyle w:val="af3"/>
              <w:ind w:left="0"/>
              <w:jc w:val="center"/>
            </w:pPr>
            <w:r w:rsidRPr="00F85C0E">
              <w:t>10</w:t>
            </w:r>
          </w:p>
        </w:tc>
      </w:tr>
      <w:tr w:rsidR="00220BDD" w:rsidRPr="00F85C0E" w14:paraId="2FEC1DDD" w14:textId="77777777" w:rsidTr="005A42C3">
        <w:tc>
          <w:tcPr>
            <w:tcW w:w="1387" w:type="dxa"/>
          </w:tcPr>
          <w:p w14:paraId="08AFAEE0" w14:textId="2435359B" w:rsidR="00220BDD" w:rsidRPr="00F85C0E" w:rsidRDefault="009525FB" w:rsidP="002C0698">
            <w:pPr>
              <w:pStyle w:val="af3"/>
              <w:ind w:left="0"/>
              <w:jc w:val="left"/>
            </w:pPr>
            <w:r w:rsidRPr="00F85C0E">
              <w:t>5</w:t>
            </w:r>
          </w:p>
        </w:tc>
        <w:tc>
          <w:tcPr>
            <w:tcW w:w="6126" w:type="dxa"/>
          </w:tcPr>
          <w:p w14:paraId="56D48F88" w14:textId="3BDD3F55" w:rsidR="00220BDD" w:rsidRPr="00F85C0E" w:rsidRDefault="00220BDD" w:rsidP="00D03B8F">
            <w:pPr>
              <w:pStyle w:val="af3"/>
              <w:ind w:left="0"/>
            </w:pPr>
            <w:r w:rsidRPr="00F85C0E">
              <w:t>Обсяг</w:t>
            </w:r>
            <w:r w:rsidR="00996F68" w:rsidRPr="00F85C0E">
              <w:t xml:space="preserve"> наданих послуг</w:t>
            </w:r>
            <w:r w:rsidRPr="00F85C0E">
              <w:t xml:space="preserve"> з </w:t>
            </w:r>
            <w:r w:rsidRPr="00F85C0E">
              <w:rPr>
                <w:color w:val="333333"/>
                <w:shd w:val="clear" w:color="auto" w:fill="FFFFFF"/>
              </w:rPr>
              <w:t>факторингу</w:t>
            </w:r>
            <w:r w:rsidR="0004190F" w:rsidRPr="00F85C0E">
              <w:rPr>
                <w:color w:val="333333"/>
                <w:shd w:val="clear" w:color="auto" w:fill="FFFFFF"/>
              </w:rPr>
              <w:t xml:space="preserve"> </w:t>
            </w:r>
            <w:r w:rsidR="0004190F" w:rsidRPr="00F85C0E">
              <w:t>станом на звітну дату за даними звітності за 12 місяців</w:t>
            </w:r>
            <w:r w:rsidR="00D03B8F" w:rsidRPr="00F85C0E">
              <w:t xml:space="preserve"> [за виключенням наданих послуг з </w:t>
            </w:r>
            <w:r w:rsidR="00D03B8F" w:rsidRPr="00F85C0E">
              <w:rPr>
                <w:color w:val="333333"/>
                <w:shd w:val="clear" w:color="auto" w:fill="FFFFFF"/>
              </w:rPr>
              <w:t>факторингу</w:t>
            </w:r>
            <w:r w:rsidR="00D03B8F" w:rsidRPr="00F85C0E">
              <w:t xml:space="preserve"> фінансовими компаніями у яких 50 і більше відсотків акцій (часток) належать державі]</w:t>
            </w:r>
          </w:p>
        </w:tc>
        <w:tc>
          <w:tcPr>
            <w:tcW w:w="2126" w:type="dxa"/>
          </w:tcPr>
          <w:p w14:paraId="33932B2D" w14:textId="77777777" w:rsidR="00220BDD" w:rsidRPr="00F85C0E" w:rsidRDefault="00220BDD" w:rsidP="002C0698">
            <w:pPr>
              <w:pStyle w:val="af3"/>
              <w:ind w:left="0"/>
              <w:jc w:val="center"/>
            </w:pPr>
            <w:r w:rsidRPr="00F85C0E">
              <w:t>10</w:t>
            </w:r>
          </w:p>
        </w:tc>
      </w:tr>
      <w:tr w:rsidR="00220BDD" w:rsidRPr="00F85C0E" w14:paraId="0805522B" w14:textId="77777777" w:rsidTr="005A42C3">
        <w:tc>
          <w:tcPr>
            <w:tcW w:w="1387" w:type="dxa"/>
          </w:tcPr>
          <w:p w14:paraId="104269D3" w14:textId="7D02E4B9" w:rsidR="00220BDD" w:rsidRPr="00F85C0E" w:rsidRDefault="009525FB" w:rsidP="002C0698">
            <w:pPr>
              <w:pStyle w:val="af3"/>
              <w:ind w:left="0"/>
              <w:jc w:val="left"/>
            </w:pPr>
            <w:r w:rsidRPr="00F85C0E">
              <w:t>6</w:t>
            </w:r>
          </w:p>
        </w:tc>
        <w:tc>
          <w:tcPr>
            <w:tcW w:w="6126" w:type="dxa"/>
          </w:tcPr>
          <w:p w14:paraId="5EE28284" w14:textId="17407404" w:rsidR="00220BDD" w:rsidRPr="00F85C0E" w:rsidRDefault="00220BDD" w:rsidP="00D03B8F">
            <w:pPr>
              <w:pStyle w:val="af3"/>
              <w:ind w:left="0"/>
            </w:pPr>
            <w:r w:rsidRPr="00F85C0E">
              <w:t xml:space="preserve">Обсяг </w:t>
            </w:r>
            <w:r w:rsidR="00996F68" w:rsidRPr="00F85C0E">
              <w:t xml:space="preserve">наданих </w:t>
            </w:r>
            <w:r w:rsidRPr="00F85C0E">
              <w:t xml:space="preserve">послуг з </w:t>
            </w:r>
            <w:r w:rsidRPr="00F85C0E">
              <w:rPr>
                <w:color w:val="333333"/>
                <w:shd w:val="clear" w:color="auto" w:fill="FFFFFF"/>
              </w:rPr>
              <w:t>надання гарантій</w:t>
            </w:r>
            <w:r w:rsidR="0004190F" w:rsidRPr="00F85C0E">
              <w:rPr>
                <w:color w:val="333333"/>
                <w:shd w:val="clear" w:color="auto" w:fill="FFFFFF"/>
              </w:rPr>
              <w:t xml:space="preserve"> </w:t>
            </w:r>
            <w:r w:rsidR="0004190F" w:rsidRPr="00F85C0E">
              <w:t>станом на звітну дату за даними звітності за 12 місяців</w:t>
            </w:r>
            <w:r w:rsidR="00D03B8F" w:rsidRPr="00F85C0E">
              <w:t xml:space="preserve">[за виключенням наданих послуг з </w:t>
            </w:r>
            <w:r w:rsidR="00D03B8F" w:rsidRPr="00F85C0E">
              <w:rPr>
                <w:color w:val="333333"/>
                <w:shd w:val="clear" w:color="auto" w:fill="FFFFFF"/>
              </w:rPr>
              <w:t>надання гарантій</w:t>
            </w:r>
            <w:r w:rsidR="00D03B8F" w:rsidRPr="00F85C0E">
              <w:t xml:space="preserve"> фінансовими компаніями у яких 50 і більше відсотків акцій (часток) належать державі]</w:t>
            </w:r>
          </w:p>
        </w:tc>
        <w:tc>
          <w:tcPr>
            <w:tcW w:w="2126" w:type="dxa"/>
          </w:tcPr>
          <w:p w14:paraId="32B5EB01" w14:textId="77777777" w:rsidR="00220BDD" w:rsidRPr="00F85C0E" w:rsidRDefault="00220BDD" w:rsidP="002C0698">
            <w:pPr>
              <w:pStyle w:val="af3"/>
              <w:ind w:left="0"/>
              <w:jc w:val="center"/>
            </w:pPr>
            <w:r w:rsidRPr="00F85C0E">
              <w:t>10</w:t>
            </w:r>
          </w:p>
        </w:tc>
      </w:tr>
      <w:tr w:rsidR="001200F4" w:rsidRPr="00F85C0E" w14:paraId="2CFA1635" w14:textId="77777777" w:rsidTr="005A42C3">
        <w:tc>
          <w:tcPr>
            <w:tcW w:w="1387" w:type="dxa"/>
          </w:tcPr>
          <w:p w14:paraId="393FEC0B" w14:textId="203E8387" w:rsidR="001200F4" w:rsidRPr="00F85C0E" w:rsidRDefault="001200F4" w:rsidP="002C0698">
            <w:pPr>
              <w:pStyle w:val="af3"/>
              <w:ind w:left="0"/>
              <w:jc w:val="left"/>
            </w:pPr>
            <w:r w:rsidRPr="00F85C0E">
              <w:rPr>
                <w:lang w:val="en-US"/>
              </w:rPr>
              <w:t>7</w:t>
            </w:r>
          </w:p>
        </w:tc>
        <w:tc>
          <w:tcPr>
            <w:tcW w:w="6126" w:type="dxa"/>
          </w:tcPr>
          <w:p w14:paraId="644F3624" w14:textId="293002AB" w:rsidR="001200F4" w:rsidRPr="00F85C0E" w:rsidRDefault="001200F4" w:rsidP="00D03B8F">
            <w:pPr>
              <w:pStyle w:val="af3"/>
              <w:ind w:left="0"/>
            </w:pPr>
            <w:r w:rsidRPr="00F85C0E">
              <w:t>Обсяг наданих послуг з переказу коштів без відкриття рахунку</w:t>
            </w:r>
            <w:r w:rsidR="00D03B8F" w:rsidRPr="00F85C0E">
              <w:t xml:space="preserve">[за виключенням наданих послуг з </w:t>
            </w:r>
            <w:r w:rsidR="00D03B8F" w:rsidRPr="00F85C0E">
              <w:rPr>
                <w:color w:val="333333"/>
                <w:shd w:val="clear" w:color="auto" w:fill="FFFFFF"/>
              </w:rPr>
              <w:t>переказу коштів без відкриття рахунку</w:t>
            </w:r>
            <w:r w:rsidR="00D03B8F" w:rsidRPr="00F85C0E">
              <w:t xml:space="preserve"> </w:t>
            </w:r>
            <w:r w:rsidR="00D03B8F" w:rsidRPr="00F85C0E">
              <w:lastRenderedPageBreak/>
              <w:t>фінансовими компаніями у яких 50 і більше відсотків акцій (часток) належать державі]</w:t>
            </w:r>
          </w:p>
        </w:tc>
        <w:tc>
          <w:tcPr>
            <w:tcW w:w="2126" w:type="dxa"/>
          </w:tcPr>
          <w:p w14:paraId="4DDCDC3E" w14:textId="355CE1F7" w:rsidR="001200F4" w:rsidRPr="00F85C0E" w:rsidRDefault="001200F4" w:rsidP="002C0698">
            <w:pPr>
              <w:pStyle w:val="af3"/>
              <w:ind w:left="0"/>
              <w:jc w:val="center"/>
            </w:pPr>
            <w:r w:rsidRPr="00F85C0E">
              <w:lastRenderedPageBreak/>
              <w:t>10</w:t>
            </w:r>
          </w:p>
        </w:tc>
      </w:tr>
      <w:tr w:rsidR="00220BDD" w:rsidRPr="00F85C0E" w14:paraId="353291F2" w14:textId="77777777" w:rsidTr="005A42C3">
        <w:tc>
          <w:tcPr>
            <w:tcW w:w="1387" w:type="dxa"/>
          </w:tcPr>
          <w:p w14:paraId="4F2DF611" w14:textId="1E3692DE" w:rsidR="00220BDD" w:rsidRPr="00F85C0E" w:rsidRDefault="001200F4" w:rsidP="002C0698">
            <w:pPr>
              <w:pStyle w:val="af3"/>
              <w:ind w:left="0"/>
              <w:jc w:val="left"/>
            </w:pPr>
            <w:r w:rsidRPr="00F85C0E">
              <w:t>8</w:t>
            </w:r>
          </w:p>
        </w:tc>
        <w:tc>
          <w:tcPr>
            <w:tcW w:w="6126" w:type="dxa"/>
          </w:tcPr>
          <w:p w14:paraId="3145B7BA" w14:textId="1827E87E" w:rsidR="00220BDD" w:rsidRPr="00F85C0E" w:rsidRDefault="00220BDD" w:rsidP="002C0698">
            <w:pPr>
              <w:pStyle w:val="af3"/>
              <w:ind w:left="0"/>
              <w:rPr>
                <w:color w:val="333333"/>
                <w:shd w:val="clear" w:color="auto" w:fill="FFFFFF"/>
              </w:rPr>
            </w:pPr>
            <w:r w:rsidRPr="00F85C0E">
              <w:t>Обсяг</w:t>
            </w:r>
            <w:r w:rsidRPr="00F85C0E">
              <w:rPr>
                <w:color w:val="333333"/>
                <w:shd w:val="clear" w:color="auto" w:fill="FFFFFF"/>
              </w:rPr>
              <w:t xml:space="preserve"> купленої та проданої готівкової іноземної валюти</w:t>
            </w:r>
          </w:p>
        </w:tc>
        <w:tc>
          <w:tcPr>
            <w:tcW w:w="2126" w:type="dxa"/>
          </w:tcPr>
          <w:p w14:paraId="5AA63455" w14:textId="77777777" w:rsidR="00220BDD" w:rsidRPr="00F85C0E" w:rsidRDefault="00220BDD" w:rsidP="002C0698">
            <w:pPr>
              <w:pStyle w:val="af3"/>
              <w:ind w:left="0"/>
              <w:jc w:val="center"/>
            </w:pPr>
            <w:r w:rsidRPr="00F85C0E">
              <w:t>10</w:t>
            </w:r>
          </w:p>
        </w:tc>
      </w:tr>
    </w:tbl>
    <w:p w14:paraId="7015CE6C" w14:textId="73903355" w:rsidR="000A6A9E" w:rsidRPr="00F85C0E" w:rsidRDefault="000A6A9E" w:rsidP="000A6A9E">
      <w:pPr>
        <w:pStyle w:val="af3"/>
        <w:ind w:left="567"/>
      </w:pPr>
    </w:p>
    <w:p w14:paraId="0F9CF974" w14:textId="0B2ECB95" w:rsidR="000A6A9E" w:rsidRPr="00F85C0E" w:rsidRDefault="000A6A9E" w:rsidP="00300F1F">
      <w:pPr>
        <w:pStyle w:val="af3"/>
        <w:numPr>
          <w:ilvl w:val="0"/>
          <w:numId w:val="18"/>
        </w:numPr>
        <w:ind w:left="0" w:firstLine="284"/>
      </w:pPr>
      <w:bookmarkStart w:id="1" w:name="n90"/>
      <w:bookmarkStart w:id="2" w:name="n91"/>
      <w:bookmarkStart w:id="3" w:name="n92"/>
      <w:bookmarkEnd w:id="1"/>
      <w:bookmarkEnd w:id="2"/>
      <w:bookmarkEnd w:id="3"/>
      <w:r w:rsidRPr="00F85C0E">
        <w:t xml:space="preserve">частка активів фінансової компанії та її позабалансових зобов’язань становить не менше 1% від загального обсягу активів та позабалансових зобов’язань фінансових компаній на дату оцінювання </w:t>
      </w:r>
      <w:r w:rsidR="00CF5740" w:rsidRPr="00F85C0E">
        <w:t>[</w:t>
      </w:r>
      <w:r w:rsidRPr="00F85C0E">
        <w:t>за виключенням активів та позабалансових зобов’язань фінансових компаній у яких 50 і більше відсотків акцій (часток) належать державі</w:t>
      </w:r>
      <w:r w:rsidR="00CF5740" w:rsidRPr="00F85C0E">
        <w:t>]</w:t>
      </w:r>
      <w:r w:rsidR="00E97C91" w:rsidRPr="00F85C0E">
        <w:t>;</w:t>
      </w:r>
    </w:p>
    <w:p w14:paraId="141A8021" w14:textId="77777777" w:rsidR="000A6A9E" w:rsidRPr="00F85C0E" w:rsidRDefault="000A6A9E" w:rsidP="00300F1F">
      <w:pPr>
        <w:pStyle w:val="af3"/>
        <w:tabs>
          <w:tab w:val="left" w:pos="1134"/>
        </w:tabs>
        <w:ind w:left="0" w:firstLine="284"/>
      </w:pPr>
    </w:p>
    <w:p w14:paraId="57B2332D" w14:textId="1D44C9D4" w:rsidR="000A6A9E" w:rsidRPr="00F85C0E" w:rsidRDefault="000A6A9E" w:rsidP="00300F1F">
      <w:pPr>
        <w:pStyle w:val="af3"/>
        <w:numPr>
          <w:ilvl w:val="0"/>
          <w:numId w:val="18"/>
        </w:numPr>
        <w:tabs>
          <w:tab w:val="left" w:pos="1134"/>
        </w:tabs>
        <w:ind w:left="0" w:firstLine="284"/>
      </w:pPr>
      <w:r w:rsidRPr="00F85C0E">
        <w:t>фінансова компанія є відповідальною особою визнаної Національним банком</w:t>
      </w:r>
      <w:r w:rsidRPr="00F85C0E">
        <w:rPr>
          <w:rFonts w:eastAsiaTheme="minorEastAsia"/>
          <w:bCs/>
          <w:iCs/>
        </w:rPr>
        <w:t xml:space="preserve"> фінансової групи</w:t>
      </w:r>
      <w:r w:rsidRPr="00F85C0E">
        <w:t xml:space="preserve"> з числа середніх та великих груп, регулювання та нагляд якої здійснюється Національним банком</w:t>
      </w:r>
      <w:r w:rsidR="00E97C91" w:rsidRPr="00F85C0E">
        <w:t>;</w:t>
      </w:r>
    </w:p>
    <w:p w14:paraId="6A62203C" w14:textId="77777777" w:rsidR="000A6A9E" w:rsidRPr="00F85C0E" w:rsidRDefault="000A6A9E" w:rsidP="00300F1F">
      <w:pPr>
        <w:pStyle w:val="af3"/>
        <w:tabs>
          <w:tab w:val="left" w:pos="1134"/>
        </w:tabs>
        <w:ind w:left="0" w:firstLine="284"/>
      </w:pPr>
    </w:p>
    <w:p w14:paraId="0E2FF293" w14:textId="72FF946B" w:rsidR="00300F1F" w:rsidRPr="00F85C0E" w:rsidRDefault="007C6B33" w:rsidP="00300F1F">
      <w:pPr>
        <w:pStyle w:val="af3"/>
        <w:numPr>
          <w:ilvl w:val="0"/>
          <w:numId w:val="18"/>
        </w:numPr>
        <w:tabs>
          <w:tab w:val="left" w:pos="1134"/>
        </w:tabs>
        <w:ind w:left="0" w:firstLine="284"/>
      </w:pPr>
      <w:r w:rsidRPr="00F85C0E">
        <w:t>фінансова компанія має</w:t>
      </w:r>
      <w:r w:rsidR="000A6A9E" w:rsidRPr="00F85C0E">
        <w:t xml:space="preserve"> ризик порушення прав споживачів фінансових послуг на рівні </w:t>
      </w:r>
      <w:r w:rsidR="00BD441B" w:rsidRPr="00F85C0E">
        <w:rPr>
          <w:rFonts w:eastAsiaTheme="minorEastAsia"/>
          <w:lang w:eastAsia="en-US"/>
        </w:rPr>
        <w:t>“</w:t>
      </w:r>
      <w:r w:rsidR="000A6A9E" w:rsidRPr="00F85C0E">
        <w:t>Високий</w:t>
      </w:r>
      <w:r w:rsidR="00BD441B" w:rsidRPr="00F85C0E">
        <w:t>”</w:t>
      </w:r>
      <w:r w:rsidR="000A6A9E" w:rsidRPr="00F85C0E">
        <w:t xml:space="preserve"> або </w:t>
      </w:r>
      <w:r w:rsidR="00BD441B" w:rsidRPr="00F85C0E">
        <w:rPr>
          <w:rFonts w:eastAsiaTheme="minorEastAsia"/>
          <w:lang w:eastAsia="en-US"/>
        </w:rPr>
        <w:t>“</w:t>
      </w:r>
      <w:r w:rsidR="000A6A9E" w:rsidRPr="00F85C0E">
        <w:t>Дуже високий</w:t>
      </w:r>
      <w:r w:rsidR="00BD441B" w:rsidRPr="00F85C0E">
        <w:t>”</w:t>
      </w:r>
      <w:r w:rsidRPr="00F85C0E">
        <w:t>, що встановлений Національним банком</w:t>
      </w:r>
      <w:r w:rsidR="00E97C91" w:rsidRPr="00F85C0E">
        <w:t>;</w:t>
      </w:r>
    </w:p>
    <w:p w14:paraId="2C91286E" w14:textId="77777777" w:rsidR="00300F1F" w:rsidRPr="00F85C0E" w:rsidRDefault="00300F1F" w:rsidP="00F85C0E">
      <w:pPr>
        <w:pStyle w:val="af3"/>
        <w:ind w:left="0" w:firstLine="567"/>
      </w:pPr>
    </w:p>
    <w:p w14:paraId="3531BA61" w14:textId="089318ED" w:rsidR="000A6A9E" w:rsidRPr="00F85C0E" w:rsidRDefault="000A6A9E" w:rsidP="00300F1F">
      <w:pPr>
        <w:pStyle w:val="af3"/>
        <w:numPr>
          <w:ilvl w:val="0"/>
          <w:numId w:val="18"/>
        </w:numPr>
        <w:tabs>
          <w:tab w:val="left" w:pos="1134"/>
        </w:tabs>
        <w:ind w:left="0" w:firstLine="284"/>
      </w:pPr>
      <w:r w:rsidRPr="00F85C0E">
        <w:t>фінансова компанія</w:t>
      </w:r>
      <w:r w:rsidR="00914F0B" w:rsidRPr="00F85C0E">
        <w:t>, незалежно від обсягів діяльності,</w:t>
      </w:r>
      <w:r w:rsidRPr="00F85C0E">
        <w:t xml:space="preserve"> за останні 12 місяців до дати її визначення Національним банком значимою здійснювала діяльність:</w:t>
      </w:r>
    </w:p>
    <w:p w14:paraId="4151BD22" w14:textId="77777777" w:rsidR="000A6A9E" w:rsidRPr="00F85C0E" w:rsidRDefault="000A6A9E" w:rsidP="00300F1F">
      <w:pPr>
        <w:tabs>
          <w:tab w:val="left" w:pos="1134"/>
        </w:tabs>
        <w:ind w:firstLine="284"/>
      </w:pPr>
      <w:r w:rsidRPr="00F85C0E">
        <w:t>з надання фінансових послуг в рамках відповідних державних програм або програм органів місцевого самоврядування визначеному колу осіб, що передбачають окремі, визначені такими програмами, умови надання фінансових послуг, крім випадків, що передбачені частиною третьою статті 2 Закону про фінансові послуги;</w:t>
      </w:r>
    </w:p>
    <w:p w14:paraId="3E780144" w14:textId="7D79975A" w:rsidR="000A6A9E" w:rsidRPr="00796D53" w:rsidRDefault="000A6A9E" w:rsidP="00300F1F">
      <w:pPr>
        <w:tabs>
          <w:tab w:val="left" w:pos="1134"/>
        </w:tabs>
        <w:ind w:firstLine="284"/>
      </w:pPr>
      <w:r w:rsidRPr="00F85C0E">
        <w:t xml:space="preserve">з надання фінансових послуг юридичній особі/юридичним особам у статутному капіталі якої/яких 50 і більше відсотків акцій (часток) належать державі, </w:t>
      </w:r>
      <w:r w:rsidRPr="00F85C0E">
        <w:rPr>
          <w:shd w:val="clear" w:color="auto" w:fill="FFFFFF"/>
        </w:rPr>
        <w:t>які надають фінансові та супровідні послуги в рамках відповідних державних програм або програм органів місцевого самоврядування</w:t>
      </w:r>
      <w:r w:rsidRPr="00F85C0E">
        <w:t>.</w:t>
      </w:r>
    </w:p>
    <w:p w14:paraId="5F78F44F" w14:textId="77777777" w:rsidR="000A6A9E" w:rsidRPr="0012497D" w:rsidRDefault="000A6A9E" w:rsidP="000A6A9E">
      <w:pPr>
        <w:pStyle w:val="af3"/>
        <w:tabs>
          <w:tab w:val="left" w:pos="993"/>
        </w:tabs>
        <w:ind w:left="0"/>
        <w:rPr>
          <w:rFonts w:eastAsiaTheme="minorEastAsia"/>
          <w:bCs/>
          <w:iCs/>
        </w:rPr>
      </w:pPr>
    </w:p>
    <w:sectPr w:rsidR="000A6A9E" w:rsidRPr="0012497D" w:rsidSect="00805F50">
      <w:headerReference w:type="default" r:id="rId26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97B48" w14:textId="77777777" w:rsidR="001C7A9F" w:rsidRDefault="001C7A9F" w:rsidP="00E53CCD">
      <w:r>
        <w:separator/>
      </w:r>
    </w:p>
    <w:p w14:paraId="53DB243D" w14:textId="77777777" w:rsidR="001C7A9F" w:rsidRDefault="001C7A9F"/>
  </w:endnote>
  <w:endnote w:type="continuationSeparator" w:id="0">
    <w:p w14:paraId="34EDDE51" w14:textId="77777777" w:rsidR="001C7A9F" w:rsidRDefault="001C7A9F" w:rsidP="00E53CCD">
      <w:r>
        <w:continuationSeparator/>
      </w:r>
    </w:p>
    <w:p w14:paraId="2476940E" w14:textId="77777777" w:rsidR="001C7A9F" w:rsidRDefault="001C7A9F"/>
  </w:endnote>
  <w:endnote w:type="continuationNotice" w:id="1">
    <w:p w14:paraId="3F69F976" w14:textId="77777777" w:rsidR="001C7A9F" w:rsidRDefault="001C7A9F"/>
    <w:p w14:paraId="5F93F2EA" w14:textId="77777777" w:rsidR="001C7A9F" w:rsidRDefault="001C7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68F7" w14:textId="77777777" w:rsidR="00502B4B" w:rsidRDefault="00502B4B">
    <w:pPr>
      <w:pStyle w:val="a7"/>
    </w:pPr>
  </w:p>
  <w:p w14:paraId="304FF864" w14:textId="77777777" w:rsidR="00502B4B" w:rsidRDefault="00502B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CD15" w14:textId="77777777" w:rsidR="00502B4B" w:rsidRDefault="00502B4B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80D4" w14:textId="77777777" w:rsidR="00502B4B" w:rsidRDefault="00502B4B">
    <w:pPr>
      <w:pStyle w:val="a7"/>
    </w:pPr>
  </w:p>
  <w:p w14:paraId="17E42595" w14:textId="77777777" w:rsidR="00502B4B" w:rsidRDefault="00502B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ED62" w14:textId="77777777" w:rsidR="001C7A9F" w:rsidRDefault="001C7A9F" w:rsidP="00E53CCD">
      <w:r>
        <w:separator/>
      </w:r>
    </w:p>
    <w:p w14:paraId="6375D77D" w14:textId="77777777" w:rsidR="001C7A9F" w:rsidRDefault="001C7A9F"/>
  </w:footnote>
  <w:footnote w:type="continuationSeparator" w:id="0">
    <w:p w14:paraId="282D3F0F" w14:textId="77777777" w:rsidR="001C7A9F" w:rsidRDefault="001C7A9F" w:rsidP="00E53CCD">
      <w:r>
        <w:continuationSeparator/>
      </w:r>
    </w:p>
    <w:p w14:paraId="6AD8E941" w14:textId="77777777" w:rsidR="001C7A9F" w:rsidRDefault="001C7A9F"/>
  </w:footnote>
  <w:footnote w:type="continuationNotice" w:id="1">
    <w:p w14:paraId="2FCE34C0" w14:textId="77777777" w:rsidR="001C7A9F" w:rsidRDefault="001C7A9F"/>
    <w:p w14:paraId="14CA658C" w14:textId="77777777" w:rsidR="001C7A9F" w:rsidRDefault="001C7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4E80" w14:textId="77777777" w:rsidR="00502B4B" w:rsidRDefault="00502B4B">
    <w:pPr>
      <w:pStyle w:val="a5"/>
    </w:pPr>
  </w:p>
  <w:p w14:paraId="0BA2763B" w14:textId="77777777" w:rsidR="00502B4B" w:rsidRDefault="00502B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645023"/>
      <w:docPartObj>
        <w:docPartGallery w:val="Page Numbers (Top of Page)"/>
        <w:docPartUnique/>
      </w:docPartObj>
    </w:sdtPr>
    <w:sdtEndPr/>
    <w:sdtContent>
      <w:p w14:paraId="280F09E2" w14:textId="49A4DB12" w:rsidR="00502B4B" w:rsidRDefault="00502B4B" w:rsidP="002D55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D4A">
          <w:rPr>
            <w:noProof/>
          </w:rPr>
          <w:t>3</w:t>
        </w:r>
        <w:r>
          <w:fldChar w:fldCharType="end"/>
        </w:r>
      </w:p>
    </w:sdtContent>
  </w:sdt>
  <w:p w14:paraId="17904773" w14:textId="77777777" w:rsidR="00502B4B" w:rsidRDefault="00502B4B">
    <w:pPr>
      <w:pStyle w:val="a5"/>
    </w:pPr>
  </w:p>
  <w:p w14:paraId="2FEC2D5C" w14:textId="77777777" w:rsidR="00502B4B" w:rsidRDefault="00502B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51F6" w14:textId="77777777" w:rsidR="00502B4B" w:rsidRDefault="00502B4B">
    <w:pPr>
      <w:pStyle w:val="a5"/>
    </w:pPr>
  </w:p>
  <w:p w14:paraId="3BED083F" w14:textId="77777777" w:rsidR="00502B4B" w:rsidRDefault="00502B4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34B1" w14:textId="77777777" w:rsidR="00502B4B" w:rsidRPr="00B930E3" w:rsidRDefault="00502B4B" w:rsidP="00B930E3">
    <w:pPr>
      <w:pStyle w:val="a5"/>
    </w:pPr>
  </w:p>
  <w:p w14:paraId="579379C0" w14:textId="77777777" w:rsidR="00502B4B" w:rsidRDefault="00502B4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880410"/>
      <w:docPartObj>
        <w:docPartGallery w:val="Page Numbers (Top of Page)"/>
        <w:docPartUnique/>
      </w:docPartObj>
    </w:sdtPr>
    <w:sdtEndPr/>
    <w:sdtContent>
      <w:p w14:paraId="2E8EEE9E" w14:textId="45B7AB5C" w:rsidR="00502B4B" w:rsidRPr="00E4145B" w:rsidRDefault="00502B4B" w:rsidP="00E4145B">
        <w:pPr>
          <w:pStyle w:val="a5"/>
          <w:jc w:val="right"/>
        </w:pPr>
        <w:r w:rsidRPr="00E4145B">
          <w:fldChar w:fldCharType="begin"/>
        </w:r>
        <w:r w:rsidRPr="00E4145B">
          <w:instrText>PAGE   \* MERGEFORMAT</w:instrText>
        </w:r>
        <w:r w:rsidRPr="00E4145B">
          <w:fldChar w:fldCharType="separate"/>
        </w:r>
        <w:r w:rsidR="00756D4A">
          <w:rPr>
            <w:noProof/>
          </w:rPr>
          <w:t>3</w:t>
        </w:r>
        <w:r w:rsidRPr="00E4145B">
          <w:fldChar w:fldCharType="end"/>
        </w:r>
        <w:r w:rsidRPr="00E4145B">
          <w:t xml:space="preserve">                                      Продовження додатка</w:t>
        </w:r>
      </w:p>
      <w:p w14:paraId="6CEF2DB9" w14:textId="4E298146" w:rsidR="00502B4B" w:rsidRPr="00E4145B" w:rsidRDefault="00502B4B" w:rsidP="00E4145B">
        <w:pPr>
          <w:pStyle w:val="a5"/>
          <w:jc w:val="right"/>
        </w:pPr>
        <w:r w:rsidRPr="00E4145B">
          <w:t>Продовження таблиці</w:t>
        </w:r>
      </w:p>
    </w:sdtContent>
  </w:sdt>
  <w:p w14:paraId="2EB9F6FD" w14:textId="77777777" w:rsidR="00502B4B" w:rsidRDefault="00502B4B">
    <w:pPr>
      <w:pStyle w:val="a5"/>
    </w:pPr>
  </w:p>
  <w:p w14:paraId="2F45073A" w14:textId="77777777" w:rsidR="00502B4B" w:rsidRDefault="00502B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456"/>
    <w:multiLevelType w:val="hybridMultilevel"/>
    <w:tmpl w:val="28EAF248"/>
    <w:lvl w:ilvl="0" w:tplc="92B803E8">
      <w:start w:val="4"/>
      <w:numFmt w:val="decimal"/>
      <w:suff w:val="space"/>
      <w:lvlText w:val="%1."/>
      <w:lvlJc w:val="left"/>
      <w:pPr>
        <w:ind w:left="2629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C91"/>
    <w:multiLevelType w:val="hybridMultilevel"/>
    <w:tmpl w:val="5A085344"/>
    <w:lvl w:ilvl="0" w:tplc="CB2AA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DD4"/>
    <w:multiLevelType w:val="hybridMultilevel"/>
    <w:tmpl w:val="65EEF8E2"/>
    <w:lvl w:ilvl="0" w:tplc="9848AF62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E5BAF"/>
    <w:multiLevelType w:val="hybridMultilevel"/>
    <w:tmpl w:val="43242F90"/>
    <w:lvl w:ilvl="0" w:tplc="A2C01FD2">
      <w:start w:val="3"/>
      <w:numFmt w:val="decimal"/>
      <w:suff w:val="space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730B"/>
    <w:multiLevelType w:val="hybridMultilevel"/>
    <w:tmpl w:val="E996A17A"/>
    <w:lvl w:ilvl="0" w:tplc="011CCE40">
      <w:start w:val="1"/>
      <w:numFmt w:val="decimal"/>
      <w:suff w:val="space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D20D65"/>
    <w:multiLevelType w:val="hybridMultilevel"/>
    <w:tmpl w:val="4DD0AF48"/>
    <w:lvl w:ilvl="0" w:tplc="9470025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470A7F"/>
    <w:multiLevelType w:val="hybridMultilevel"/>
    <w:tmpl w:val="FF02B5C4"/>
    <w:lvl w:ilvl="0" w:tplc="BE182208">
      <w:start w:val="1"/>
      <w:numFmt w:val="decimal"/>
      <w:suff w:val="space"/>
      <w:lvlText w:val="%1)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3F0D6B"/>
    <w:multiLevelType w:val="hybridMultilevel"/>
    <w:tmpl w:val="ED9E6424"/>
    <w:lvl w:ilvl="0" w:tplc="1DCEE6BA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520045"/>
    <w:multiLevelType w:val="hybridMultilevel"/>
    <w:tmpl w:val="36C8EF14"/>
    <w:lvl w:ilvl="0" w:tplc="E39C6B50">
      <w:start w:val="2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BC3711"/>
    <w:multiLevelType w:val="hybridMultilevel"/>
    <w:tmpl w:val="79B82B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404D"/>
    <w:multiLevelType w:val="hybridMultilevel"/>
    <w:tmpl w:val="431E4C7C"/>
    <w:lvl w:ilvl="0" w:tplc="0422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F60581E"/>
    <w:multiLevelType w:val="hybridMultilevel"/>
    <w:tmpl w:val="B99AE72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B655E"/>
    <w:multiLevelType w:val="hybridMultilevel"/>
    <w:tmpl w:val="42062A44"/>
    <w:lvl w:ilvl="0" w:tplc="0D82A67E">
      <w:start w:val="4"/>
      <w:numFmt w:val="decimal"/>
      <w:lvlText w:val="%1)"/>
      <w:lvlJc w:val="left"/>
      <w:pPr>
        <w:ind w:left="9291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04A2"/>
    <w:multiLevelType w:val="hybridMultilevel"/>
    <w:tmpl w:val="932A5A6C"/>
    <w:lvl w:ilvl="0" w:tplc="1D54AA88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152C77F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1633E2"/>
    <w:multiLevelType w:val="hybridMultilevel"/>
    <w:tmpl w:val="4412FAA6"/>
    <w:lvl w:ilvl="0" w:tplc="BAF26564">
      <w:start w:val="1"/>
      <w:numFmt w:val="decimal"/>
      <w:lvlText w:val="%1)"/>
      <w:lvlJc w:val="left"/>
      <w:pPr>
        <w:ind w:left="9291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46A42"/>
    <w:multiLevelType w:val="hybridMultilevel"/>
    <w:tmpl w:val="E3A6F5BE"/>
    <w:lvl w:ilvl="0" w:tplc="70280910">
      <w:start w:val="7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7253"/>
    <w:multiLevelType w:val="hybridMultilevel"/>
    <w:tmpl w:val="5D68D4C6"/>
    <w:lvl w:ilvl="0" w:tplc="DFA2DFC2">
      <w:start w:val="39"/>
      <w:numFmt w:val="decimal"/>
      <w:suff w:val="space"/>
      <w:lvlText w:val="%1."/>
      <w:lvlJc w:val="left"/>
      <w:pPr>
        <w:ind w:left="2629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55ECA"/>
    <w:multiLevelType w:val="hybridMultilevel"/>
    <w:tmpl w:val="AA9C9D10"/>
    <w:lvl w:ilvl="0" w:tplc="11E85F82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  <w:b w:val="0"/>
        <w:strike w:val="0"/>
      </w:rPr>
    </w:lvl>
    <w:lvl w:ilvl="1" w:tplc="04220019">
      <w:start w:val="1"/>
      <w:numFmt w:val="lowerLetter"/>
      <w:lvlText w:val="%2."/>
      <w:lvlJc w:val="left"/>
      <w:pPr>
        <w:ind w:left="2912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6"/>
  </w:num>
  <w:num w:numId="5">
    <w:abstractNumId w:val="8"/>
  </w:num>
  <w:num w:numId="6">
    <w:abstractNumId w:val="6"/>
  </w:num>
  <w:num w:numId="7">
    <w:abstractNumId w:val="14"/>
  </w:num>
  <w:num w:numId="8">
    <w:abstractNumId w:val="13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  <w:num w:numId="14">
    <w:abstractNumId w:val="4"/>
  </w:num>
  <w:num w:numId="15">
    <w:abstractNumId w:val="11"/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09CF"/>
    <w:rsid w:val="00002393"/>
    <w:rsid w:val="00002D01"/>
    <w:rsid w:val="00002DAB"/>
    <w:rsid w:val="00002F40"/>
    <w:rsid w:val="00003A0A"/>
    <w:rsid w:val="00005ABB"/>
    <w:rsid w:val="000064FA"/>
    <w:rsid w:val="00006B21"/>
    <w:rsid w:val="000072A7"/>
    <w:rsid w:val="00007943"/>
    <w:rsid w:val="00007E6A"/>
    <w:rsid w:val="000100D5"/>
    <w:rsid w:val="0001299D"/>
    <w:rsid w:val="000147E9"/>
    <w:rsid w:val="000157B4"/>
    <w:rsid w:val="00015CB6"/>
    <w:rsid w:val="00015FDE"/>
    <w:rsid w:val="000162E5"/>
    <w:rsid w:val="00016403"/>
    <w:rsid w:val="00016410"/>
    <w:rsid w:val="00016E06"/>
    <w:rsid w:val="00016E29"/>
    <w:rsid w:val="000172AF"/>
    <w:rsid w:val="0001761C"/>
    <w:rsid w:val="0002076C"/>
    <w:rsid w:val="00020FAC"/>
    <w:rsid w:val="0002282B"/>
    <w:rsid w:val="00022C17"/>
    <w:rsid w:val="0002517A"/>
    <w:rsid w:val="000272BE"/>
    <w:rsid w:val="000302A0"/>
    <w:rsid w:val="0003084D"/>
    <w:rsid w:val="000308A0"/>
    <w:rsid w:val="000309A2"/>
    <w:rsid w:val="00031A78"/>
    <w:rsid w:val="00032263"/>
    <w:rsid w:val="00032927"/>
    <w:rsid w:val="0003319E"/>
    <w:rsid w:val="00033933"/>
    <w:rsid w:val="00034755"/>
    <w:rsid w:val="00035090"/>
    <w:rsid w:val="00035634"/>
    <w:rsid w:val="00035825"/>
    <w:rsid w:val="00037851"/>
    <w:rsid w:val="000378F7"/>
    <w:rsid w:val="0003793C"/>
    <w:rsid w:val="0004190F"/>
    <w:rsid w:val="00041A6B"/>
    <w:rsid w:val="0004207B"/>
    <w:rsid w:val="0004229A"/>
    <w:rsid w:val="00042B07"/>
    <w:rsid w:val="00042FD0"/>
    <w:rsid w:val="00044588"/>
    <w:rsid w:val="000450D2"/>
    <w:rsid w:val="00046B2F"/>
    <w:rsid w:val="0004776A"/>
    <w:rsid w:val="000500BC"/>
    <w:rsid w:val="000506D8"/>
    <w:rsid w:val="00050DA8"/>
    <w:rsid w:val="00050E7F"/>
    <w:rsid w:val="00051C31"/>
    <w:rsid w:val="000522F3"/>
    <w:rsid w:val="000528BA"/>
    <w:rsid w:val="00052CEC"/>
    <w:rsid w:val="000533F3"/>
    <w:rsid w:val="00053B4F"/>
    <w:rsid w:val="00053B52"/>
    <w:rsid w:val="00054FCF"/>
    <w:rsid w:val="00055DD7"/>
    <w:rsid w:val="00055F41"/>
    <w:rsid w:val="00060063"/>
    <w:rsid w:val="00061210"/>
    <w:rsid w:val="00061485"/>
    <w:rsid w:val="0006199B"/>
    <w:rsid w:val="00063480"/>
    <w:rsid w:val="000647A8"/>
    <w:rsid w:val="00065384"/>
    <w:rsid w:val="000708CE"/>
    <w:rsid w:val="000713E8"/>
    <w:rsid w:val="000715FA"/>
    <w:rsid w:val="00072823"/>
    <w:rsid w:val="00072A1C"/>
    <w:rsid w:val="00073797"/>
    <w:rsid w:val="00073EFD"/>
    <w:rsid w:val="00074A09"/>
    <w:rsid w:val="000764D5"/>
    <w:rsid w:val="00076C22"/>
    <w:rsid w:val="0007782F"/>
    <w:rsid w:val="00081827"/>
    <w:rsid w:val="00081EC4"/>
    <w:rsid w:val="00083066"/>
    <w:rsid w:val="000857CA"/>
    <w:rsid w:val="000866F6"/>
    <w:rsid w:val="00091698"/>
    <w:rsid w:val="00091F49"/>
    <w:rsid w:val="00092825"/>
    <w:rsid w:val="00092A5D"/>
    <w:rsid w:val="00093A38"/>
    <w:rsid w:val="00094928"/>
    <w:rsid w:val="0009494D"/>
    <w:rsid w:val="00094C30"/>
    <w:rsid w:val="000958BB"/>
    <w:rsid w:val="00095DD2"/>
    <w:rsid w:val="00096EEB"/>
    <w:rsid w:val="00097B89"/>
    <w:rsid w:val="000A1F59"/>
    <w:rsid w:val="000A2556"/>
    <w:rsid w:val="000A2C5A"/>
    <w:rsid w:val="000A2E66"/>
    <w:rsid w:val="000A4D01"/>
    <w:rsid w:val="000A51E9"/>
    <w:rsid w:val="000A6A9E"/>
    <w:rsid w:val="000A6B7E"/>
    <w:rsid w:val="000A700C"/>
    <w:rsid w:val="000B1D7A"/>
    <w:rsid w:val="000B1F2F"/>
    <w:rsid w:val="000B2990"/>
    <w:rsid w:val="000B2B3C"/>
    <w:rsid w:val="000B36FE"/>
    <w:rsid w:val="000B465A"/>
    <w:rsid w:val="000B4EBB"/>
    <w:rsid w:val="000B4FC5"/>
    <w:rsid w:val="000B5AA3"/>
    <w:rsid w:val="000B5ADB"/>
    <w:rsid w:val="000B5E45"/>
    <w:rsid w:val="000B6BE1"/>
    <w:rsid w:val="000B7BF3"/>
    <w:rsid w:val="000B7E86"/>
    <w:rsid w:val="000C0050"/>
    <w:rsid w:val="000C081D"/>
    <w:rsid w:val="000C0F7A"/>
    <w:rsid w:val="000C1371"/>
    <w:rsid w:val="000C14CD"/>
    <w:rsid w:val="000C1702"/>
    <w:rsid w:val="000C1B8B"/>
    <w:rsid w:val="000C2A04"/>
    <w:rsid w:val="000C3978"/>
    <w:rsid w:val="000C3F58"/>
    <w:rsid w:val="000C6C26"/>
    <w:rsid w:val="000C76B6"/>
    <w:rsid w:val="000D1178"/>
    <w:rsid w:val="000D1485"/>
    <w:rsid w:val="000D43E8"/>
    <w:rsid w:val="000D44E2"/>
    <w:rsid w:val="000D4F9D"/>
    <w:rsid w:val="000D6172"/>
    <w:rsid w:val="000D672A"/>
    <w:rsid w:val="000D6A73"/>
    <w:rsid w:val="000D6ACA"/>
    <w:rsid w:val="000D7860"/>
    <w:rsid w:val="000E0A8E"/>
    <w:rsid w:val="000E0C11"/>
    <w:rsid w:val="000E0E3C"/>
    <w:rsid w:val="000E1965"/>
    <w:rsid w:val="000E224A"/>
    <w:rsid w:val="000E3987"/>
    <w:rsid w:val="000E39E1"/>
    <w:rsid w:val="000E4B44"/>
    <w:rsid w:val="000E5264"/>
    <w:rsid w:val="000E590D"/>
    <w:rsid w:val="000E681C"/>
    <w:rsid w:val="000E700F"/>
    <w:rsid w:val="000E7AA3"/>
    <w:rsid w:val="000F05DC"/>
    <w:rsid w:val="000F0AD7"/>
    <w:rsid w:val="000F2209"/>
    <w:rsid w:val="000F2B1C"/>
    <w:rsid w:val="000F4DD0"/>
    <w:rsid w:val="000F5A70"/>
    <w:rsid w:val="000F5AE1"/>
    <w:rsid w:val="000F700F"/>
    <w:rsid w:val="00100163"/>
    <w:rsid w:val="001006AC"/>
    <w:rsid w:val="0010130F"/>
    <w:rsid w:val="001019B8"/>
    <w:rsid w:val="001025EF"/>
    <w:rsid w:val="00102C1C"/>
    <w:rsid w:val="00102EE6"/>
    <w:rsid w:val="001038F7"/>
    <w:rsid w:val="0010464A"/>
    <w:rsid w:val="00104D90"/>
    <w:rsid w:val="001053A4"/>
    <w:rsid w:val="00105E24"/>
    <w:rsid w:val="001061DE"/>
    <w:rsid w:val="0010673D"/>
    <w:rsid w:val="001068E6"/>
    <w:rsid w:val="00106EAB"/>
    <w:rsid w:val="00107822"/>
    <w:rsid w:val="00107B37"/>
    <w:rsid w:val="001102E7"/>
    <w:rsid w:val="00110315"/>
    <w:rsid w:val="001106DD"/>
    <w:rsid w:val="00110FB0"/>
    <w:rsid w:val="001114DF"/>
    <w:rsid w:val="001116B5"/>
    <w:rsid w:val="001125F3"/>
    <w:rsid w:val="001131AC"/>
    <w:rsid w:val="001133A7"/>
    <w:rsid w:val="00113ECB"/>
    <w:rsid w:val="00114CD4"/>
    <w:rsid w:val="0011687E"/>
    <w:rsid w:val="001171F9"/>
    <w:rsid w:val="00117550"/>
    <w:rsid w:val="001200F4"/>
    <w:rsid w:val="001201A9"/>
    <w:rsid w:val="00120D63"/>
    <w:rsid w:val="00122180"/>
    <w:rsid w:val="0012275F"/>
    <w:rsid w:val="001234BE"/>
    <w:rsid w:val="0012497D"/>
    <w:rsid w:val="001270C6"/>
    <w:rsid w:val="00127956"/>
    <w:rsid w:val="00127D20"/>
    <w:rsid w:val="001303F7"/>
    <w:rsid w:val="001309A3"/>
    <w:rsid w:val="0013128F"/>
    <w:rsid w:val="00131D29"/>
    <w:rsid w:val="00132FA3"/>
    <w:rsid w:val="0013327E"/>
    <w:rsid w:val="001357AF"/>
    <w:rsid w:val="001357E9"/>
    <w:rsid w:val="00141289"/>
    <w:rsid w:val="001414E1"/>
    <w:rsid w:val="00142A8B"/>
    <w:rsid w:val="00142FC3"/>
    <w:rsid w:val="00143F36"/>
    <w:rsid w:val="00145865"/>
    <w:rsid w:val="001478E2"/>
    <w:rsid w:val="001479CE"/>
    <w:rsid w:val="00150DA4"/>
    <w:rsid w:val="00151682"/>
    <w:rsid w:val="001517DD"/>
    <w:rsid w:val="00152CEA"/>
    <w:rsid w:val="00153D59"/>
    <w:rsid w:val="00154280"/>
    <w:rsid w:val="001545F3"/>
    <w:rsid w:val="00155007"/>
    <w:rsid w:val="00155E89"/>
    <w:rsid w:val="00156152"/>
    <w:rsid w:val="00157267"/>
    <w:rsid w:val="00157E72"/>
    <w:rsid w:val="00157EEB"/>
    <w:rsid w:val="00160089"/>
    <w:rsid w:val="00161917"/>
    <w:rsid w:val="0016218B"/>
    <w:rsid w:val="001625F0"/>
    <w:rsid w:val="00162DFB"/>
    <w:rsid w:val="001632F6"/>
    <w:rsid w:val="0016431D"/>
    <w:rsid w:val="001643E0"/>
    <w:rsid w:val="00164A52"/>
    <w:rsid w:val="001652CD"/>
    <w:rsid w:val="00166160"/>
    <w:rsid w:val="00166382"/>
    <w:rsid w:val="00166D27"/>
    <w:rsid w:val="00166EFA"/>
    <w:rsid w:val="001675DE"/>
    <w:rsid w:val="00167A2E"/>
    <w:rsid w:val="00167B08"/>
    <w:rsid w:val="00170799"/>
    <w:rsid w:val="00171177"/>
    <w:rsid w:val="001740C0"/>
    <w:rsid w:val="001740C2"/>
    <w:rsid w:val="00175A7C"/>
    <w:rsid w:val="00177F47"/>
    <w:rsid w:val="00181E6C"/>
    <w:rsid w:val="00182749"/>
    <w:rsid w:val="00182EBF"/>
    <w:rsid w:val="0018344A"/>
    <w:rsid w:val="0018669F"/>
    <w:rsid w:val="00186718"/>
    <w:rsid w:val="00187D81"/>
    <w:rsid w:val="00190E1A"/>
    <w:rsid w:val="00191569"/>
    <w:rsid w:val="00191F98"/>
    <w:rsid w:val="001922AC"/>
    <w:rsid w:val="00192363"/>
    <w:rsid w:val="00192423"/>
    <w:rsid w:val="00193D1B"/>
    <w:rsid w:val="0019448D"/>
    <w:rsid w:val="00195933"/>
    <w:rsid w:val="00195D50"/>
    <w:rsid w:val="00196007"/>
    <w:rsid w:val="00196707"/>
    <w:rsid w:val="00196EF4"/>
    <w:rsid w:val="001970E1"/>
    <w:rsid w:val="001A016A"/>
    <w:rsid w:val="001A0C85"/>
    <w:rsid w:val="001A16FA"/>
    <w:rsid w:val="001A1A61"/>
    <w:rsid w:val="001A3695"/>
    <w:rsid w:val="001A42D2"/>
    <w:rsid w:val="001A43F0"/>
    <w:rsid w:val="001A6711"/>
    <w:rsid w:val="001B05AF"/>
    <w:rsid w:val="001B0DA9"/>
    <w:rsid w:val="001B1D49"/>
    <w:rsid w:val="001B3814"/>
    <w:rsid w:val="001B5492"/>
    <w:rsid w:val="001B5C94"/>
    <w:rsid w:val="001B5DCF"/>
    <w:rsid w:val="001B7A90"/>
    <w:rsid w:val="001B7EE7"/>
    <w:rsid w:val="001C0C3B"/>
    <w:rsid w:val="001C1C1A"/>
    <w:rsid w:val="001C227A"/>
    <w:rsid w:val="001C26A7"/>
    <w:rsid w:val="001C27BB"/>
    <w:rsid w:val="001C2CBF"/>
    <w:rsid w:val="001C361D"/>
    <w:rsid w:val="001C3B50"/>
    <w:rsid w:val="001C54AA"/>
    <w:rsid w:val="001C6F70"/>
    <w:rsid w:val="001C7A9F"/>
    <w:rsid w:val="001C7C47"/>
    <w:rsid w:val="001D05B5"/>
    <w:rsid w:val="001D12A7"/>
    <w:rsid w:val="001D1374"/>
    <w:rsid w:val="001D209C"/>
    <w:rsid w:val="001D23AB"/>
    <w:rsid w:val="001D24A9"/>
    <w:rsid w:val="001D2D88"/>
    <w:rsid w:val="001D3A55"/>
    <w:rsid w:val="001D487A"/>
    <w:rsid w:val="001D575C"/>
    <w:rsid w:val="001D7379"/>
    <w:rsid w:val="001E2208"/>
    <w:rsid w:val="001E242C"/>
    <w:rsid w:val="001E2732"/>
    <w:rsid w:val="001E3C5D"/>
    <w:rsid w:val="001E5DB4"/>
    <w:rsid w:val="001E61E9"/>
    <w:rsid w:val="001E65D9"/>
    <w:rsid w:val="001E6EE8"/>
    <w:rsid w:val="001E732E"/>
    <w:rsid w:val="001E763A"/>
    <w:rsid w:val="001E777A"/>
    <w:rsid w:val="001E798B"/>
    <w:rsid w:val="001E7BA8"/>
    <w:rsid w:val="001E7CE8"/>
    <w:rsid w:val="001F299A"/>
    <w:rsid w:val="001F46C4"/>
    <w:rsid w:val="001F48C5"/>
    <w:rsid w:val="001F49B4"/>
    <w:rsid w:val="001F4B21"/>
    <w:rsid w:val="001F5259"/>
    <w:rsid w:val="001F591C"/>
    <w:rsid w:val="001F64D4"/>
    <w:rsid w:val="001F70D6"/>
    <w:rsid w:val="001F71E8"/>
    <w:rsid w:val="001F7F9C"/>
    <w:rsid w:val="00200121"/>
    <w:rsid w:val="00200D05"/>
    <w:rsid w:val="00200F24"/>
    <w:rsid w:val="0020132C"/>
    <w:rsid w:val="00202289"/>
    <w:rsid w:val="0020308E"/>
    <w:rsid w:val="002030D9"/>
    <w:rsid w:val="00204AE7"/>
    <w:rsid w:val="00204B4B"/>
    <w:rsid w:val="00204BBD"/>
    <w:rsid w:val="00204F22"/>
    <w:rsid w:val="0020658C"/>
    <w:rsid w:val="002065C7"/>
    <w:rsid w:val="002068CE"/>
    <w:rsid w:val="00206ACF"/>
    <w:rsid w:val="00206D6A"/>
    <w:rsid w:val="0020709A"/>
    <w:rsid w:val="00207DA9"/>
    <w:rsid w:val="00207E7C"/>
    <w:rsid w:val="00210D09"/>
    <w:rsid w:val="00211735"/>
    <w:rsid w:val="002117E3"/>
    <w:rsid w:val="00211894"/>
    <w:rsid w:val="00211BCA"/>
    <w:rsid w:val="00211F05"/>
    <w:rsid w:val="0021268A"/>
    <w:rsid w:val="00212AC9"/>
    <w:rsid w:val="002131B2"/>
    <w:rsid w:val="00214E2F"/>
    <w:rsid w:val="00215072"/>
    <w:rsid w:val="00215DC0"/>
    <w:rsid w:val="00215DC7"/>
    <w:rsid w:val="0021785C"/>
    <w:rsid w:val="00220627"/>
    <w:rsid w:val="00220BDD"/>
    <w:rsid w:val="00221861"/>
    <w:rsid w:val="00222561"/>
    <w:rsid w:val="002246F0"/>
    <w:rsid w:val="00224D81"/>
    <w:rsid w:val="002258C2"/>
    <w:rsid w:val="002267CA"/>
    <w:rsid w:val="00227478"/>
    <w:rsid w:val="0022758E"/>
    <w:rsid w:val="002303B1"/>
    <w:rsid w:val="00231D3D"/>
    <w:rsid w:val="0023232A"/>
    <w:rsid w:val="00232431"/>
    <w:rsid w:val="002324C9"/>
    <w:rsid w:val="00233146"/>
    <w:rsid w:val="002337E3"/>
    <w:rsid w:val="0023523B"/>
    <w:rsid w:val="002357F3"/>
    <w:rsid w:val="00236232"/>
    <w:rsid w:val="0023651D"/>
    <w:rsid w:val="00236AF2"/>
    <w:rsid w:val="002403E6"/>
    <w:rsid w:val="002406BB"/>
    <w:rsid w:val="002408CA"/>
    <w:rsid w:val="00240C8E"/>
    <w:rsid w:val="00240E2A"/>
    <w:rsid w:val="00241373"/>
    <w:rsid w:val="00243277"/>
    <w:rsid w:val="00244B05"/>
    <w:rsid w:val="002453A3"/>
    <w:rsid w:val="00246961"/>
    <w:rsid w:val="00246D15"/>
    <w:rsid w:val="00246FB0"/>
    <w:rsid w:val="00247978"/>
    <w:rsid w:val="002518D1"/>
    <w:rsid w:val="00251F89"/>
    <w:rsid w:val="0025213B"/>
    <w:rsid w:val="00252BA7"/>
    <w:rsid w:val="00252D8F"/>
    <w:rsid w:val="00252F6C"/>
    <w:rsid w:val="0025361A"/>
    <w:rsid w:val="00253BF9"/>
    <w:rsid w:val="002549DC"/>
    <w:rsid w:val="0025547F"/>
    <w:rsid w:val="00256B39"/>
    <w:rsid w:val="00257673"/>
    <w:rsid w:val="00257CA1"/>
    <w:rsid w:val="00257DC8"/>
    <w:rsid w:val="00257FAC"/>
    <w:rsid w:val="00261205"/>
    <w:rsid w:val="00261C6F"/>
    <w:rsid w:val="00262949"/>
    <w:rsid w:val="00263100"/>
    <w:rsid w:val="002631E9"/>
    <w:rsid w:val="002642B9"/>
    <w:rsid w:val="00264983"/>
    <w:rsid w:val="00265B06"/>
    <w:rsid w:val="00265F72"/>
    <w:rsid w:val="00266085"/>
    <w:rsid w:val="00266BB3"/>
    <w:rsid w:val="00266D4E"/>
    <w:rsid w:val="0026748D"/>
    <w:rsid w:val="002702AB"/>
    <w:rsid w:val="00271EA3"/>
    <w:rsid w:val="00272B80"/>
    <w:rsid w:val="00273437"/>
    <w:rsid w:val="0027405E"/>
    <w:rsid w:val="002744D5"/>
    <w:rsid w:val="002748B2"/>
    <w:rsid w:val="002748B5"/>
    <w:rsid w:val="00275D18"/>
    <w:rsid w:val="0027648F"/>
    <w:rsid w:val="002767DB"/>
    <w:rsid w:val="00277320"/>
    <w:rsid w:val="002774BB"/>
    <w:rsid w:val="00277714"/>
    <w:rsid w:val="00280688"/>
    <w:rsid w:val="00280935"/>
    <w:rsid w:val="00283425"/>
    <w:rsid w:val="00283992"/>
    <w:rsid w:val="002846E4"/>
    <w:rsid w:val="00285421"/>
    <w:rsid w:val="002871B4"/>
    <w:rsid w:val="002871E0"/>
    <w:rsid w:val="00287AA1"/>
    <w:rsid w:val="002905E7"/>
    <w:rsid w:val="00290FB8"/>
    <w:rsid w:val="0029175F"/>
    <w:rsid w:val="00294152"/>
    <w:rsid w:val="00294805"/>
    <w:rsid w:val="00295260"/>
    <w:rsid w:val="002953B4"/>
    <w:rsid w:val="00295D35"/>
    <w:rsid w:val="00296032"/>
    <w:rsid w:val="00296D41"/>
    <w:rsid w:val="00297273"/>
    <w:rsid w:val="002A039E"/>
    <w:rsid w:val="002A09CF"/>
    <w:rsid w:val="002A0F6D"/>
    <w:rsid w:val="002A172E"/>
    <w:rsid w:val="002A2C07"/>
    <w:rsid w:val="002A31D9"/>
    <w:rsid w:val="002A46B0"/>
    <w:rsid w:val="002A5051"/>
    <w:rsid w:val="002A564E"/>
    <w:rsid w:val="002A613E"/>
    <w:rsid w:val="002A6847"/>
    <w:rsid w:val="002A7848"/>
    <w:rsid w:val="002A7853"/>
    <w:rsid w:val="002A7DE0"/>
    <w:rsid w:val="002A7E36"/>
    <w:rsid w:val="002B14B4"/>
    <w:rsid w:val="002B1880"/>
    <w:rsid w:val="002B1923"/>
    <w:rsid w:val="002B1C12"/>
    <w:rsid w:val="002B2967"/>
    <w:rsid w:val="002B3BFB"/>
    <w:rsid w:val="002B4992"/>
    <w:rsid w:val="002B503A"/>
    <w:rsid w:val="002B57F3"/>
    <w:rsid w:val="002B6576"/>
    <w:rsid w:val="002B6664"/>
    <w:rsid w:val="002B70F8"/>
    <w:rsid w:val="002B759B"/>
    <w:rsid w:val="002B7C1A"/>
    <w:rsid w:val="002C01C2"/>
    <w:rsid w:val="002C05C1"/>
    <w:rsid w:val="002C0698"/>
    <w:rsid w:val="002C0C07"/>
    <w:rsid w:val="002C2FEC"/>
    <w:rsid w:val="002C3620"/>
    <w:rsid w:val="002C61F8"/>
    <w:rsid w:val="002C677D"/>
    <w:rsid w:val="002C70A1"/>
    <w:rsid w:val="002C7748"/>
    <w:rsid w:val="002C7B4D"/>
    <w:rsid w:val="002D036C"/>
    <w:rsid w:val="002D1340"/>
    <w:rsid w:val="002D161D"/>
    <w:rsid w:val="002D171B"/>
    <w:rsid w:val="002D1790"/>
    <w:rsid w:val="002D1915"/>
    <w:rsid w:val="002D1E8C"/>
    <w:rsid w:val="002D231F"/>
    <w:rsid w:val="002D2D4E"/>
    <w:rsid w:val="002D336C"/>
    <w:rsid w:val="002D33AA"/>
    <w:rsid w:val="002D5205"/>
    <w:rsid w:val="002D52F9"/>
    <w:rsid w:val="002D5521"/>
    <w:rsid w:val="002D6076"/>
    <w:rsid w:val="002E023A"/>
    <w:rsid w:val="002E0C8B"/>
    <w:rsid w:val="002E20DF"/>
    <w:rsid w:val="002E5B98"/>
    <w:rsid w:val="002E693A"/>
    <w:rsid w:val="002E6B1B"/>
    <w:rsid w:val="002E6D18"/>
    <w:rsid w:val="002F0CE1"/>
    <w:rsid w:val="002F115B"/>
    <w:rsid w:val="002F24B4"/>
    <w:rsid w:val="002F33F0"/>
    <w:rsid w:val="002F37A5"/>
    <w:rsid w:val="002F3AFA"/>
    <w:rsid w:val="002F5EDC"/>
    <w:rsid w:val="002F660B"/>
    <w:rsid w:val="00300F1E"/>
    <w:rsid w:val="00300F1F"/>
    <w:rsid w:val="00302986"/>
    <w:rsid w:val="00303618"/>
    <w:rsid w:val="003041EF"/>
    <w:rsid w:val="00304935"/>
    <w:rsid w:val="00305605"/>
    <w:rsid w:val="003056C4"/>
    <w:rsid w:val="003057BF"/>
    <w:rsid w:val="00306F6F"/>
    <w:rsid w:val="003074F5"/>
    <w:rsid w:val="00307559"/>
    <w:rsid w:val="00307794"/>
    <w:rsid w:val="00310417"/>
    <w:rsid w:val="00310490"/>
    <w:rsid w:val="003118BD"/>
    <w:rsid w:val="00311D20"/>
    <w:rsid w:val="0031344E"/>
    <w:rsid w:val="0031378B"/>
    <w:rsid w:val="0031386A"/>
    <w:rsid w:val="00313A63"/>
    <w:rsid w:val="0031695D"/>
    <w:rsid w:val="00320ACA"/>
    <w:rsid w:val="00321473"/>
    <w:rsid w:val="00321FB1"/>
    <w:rsid w:val="00322774"/>
    <w:rsid w:val="003249E1"/>
    <w:rsid w:val="003258B3"/>
    <w:rsid w:val="00326D9C"/>
    <w:rsid w:val="00330537"/>
    <w:rsid w:val="00330F6F"/>
    <w:rsid w:val="00331006"/>
    <w:rsid w:val="0033133D"/>
    <w:rsid w:val="00333647"/>
    <w:rsid w:val="00333694"/>
    <w:rsid w:val="00334CF6"/>
    <w:rsid w:val="00335F92"/>
    <w:rsid w:val="0033681C"/>
    <w:rsid w:val="00336F88"/>
    <w:rsid w:val="00337296"/>
    <w:rsid w:val="00340DD6"/>
    <w:rsid w:val="00341CCE"/>
    <w:rsid w:val="00341D0C"/>
    <w:rsid w:val="003421BC"/>
    <w:rsid w:val="0034445E"/>
    <w:rsid w:val="00344BF3"/>
    <w:rsid w:val="00346AA4"/>
    <w:rsid w:val="003477D8"/>
    <w:rsid w:val="00347897"/>
    <w:rsid w:val="003478F0"/>
    <w:rsid w:val="0035173E"/>
    <w:rsid w:val="003523FE"/>
    <w:rsid w:val="00352B5A"/>
    <w:rsid w:val="00352CD1"/>
    <w:rsid w:val="00352D59"/>
    <w:rsid w:val="00352F37"/>
    <w:rsid w:val="00353478"/>
    <w:rsid w:val="00354EB0"/>
    <w:rsid w:val="0035539C"/>
    <w:rsid w:val="00356869"/>
    <w:rsid w:val="00356E34"/>
    <w:rsid w:val="00357070"/>
    <w:rsid w:val="00357676"/>
    <w:rsid w:val="00357BDA"/>
    <w:rsid w:val="00357DF7"/>
    <w:rsid w:val="0036090A"/>
    <w:rsid w:val="003617F2"/>
    <w:rsid w:val="00361852"/>
    <w:rsid w:val="00361FF9"/>
    <w:rsid w:val="0036407C"/>
    <w:rsid w:val="00364833"/>
    <w:rsid w:val="00365B8D"/>
    <w:rsid w:val="0036638D"/>
    <w:rsid w:val="003668FA"/>
    <w:rsid w:val="00370071"/>
    <w:rsid w:val="00371783"/>
    <w:rsid w:val="00371C90"/>
    <w:rsid w:val="00372657"/>
    <w:rsid w:val="0037298C"/>
    <w:rsid w:val="003733AB"/>
    <w:rsid w:val="00373790"/>
    <w:rsid w:val="00373D4C"/>
    <w:rsid w:val="003741BC"/>
    <w:rsid w:val="00375FB4"/>
    <w:rsid w:val="003779FD"/>
    <w:rsid w:val="00380867"/>
    <w:rsid w:val="0038167B"/>
    <w:rsid w:val="003819AC"/>
    <w:rsid w:val="0038230E"/>
    <w:rsid w:val="00383432"/>
    <w:rsid w:val="0038385E"/>
    <w:rsid w:val="0038776F"/>
    <w:rsid w:val="00387DCD"/>
    <w:rsid w:val="0039048B"/>
    <w:rsid w:val="00390B70"/>
    <w:rsid w:val="003916A0"/>
    <w:rsid w:val="00391C75"/>
    <w:rsid w:val="00392608"/>
    <w:rsid w:val="00392789"/>
    <w:rsid w:val="0039388A"/>
    <w:rsid w:val="00395A3C"/>
    <w:rsid w:val="003962D6"/>
    <w:rsid w:val="003968AE"/>
    <w:rsid w:val="003970AF"/>
    <w:rsid w:val="00397FCA"/>
    <w:rsid w:val="003A1AFE"/>
    <w:rsid w:val="003A24CA"/>
    <w:rsid w:val="003A294C"/>
    <w:rsid w:val="003A2C8D"/>
    <w:rsid w:val="003A35AC"/>
    <w:rsid w:val="003A383B"/>
    <w:rsid w:val="003A4E2E"/>
    <w:rsid w:val="003A5178"/>
    <w:rsid w:val="003A6077"/>
    <w:rsid w:val="003A7A82"/>
    <w:rsid w:val="003B0C35"/>
    <w:rsid w:val="003B1D0B"/>
    <w:rsid w:val="003B201B"/>
    <w:rsid w:val="003B2820"/>
    <w:rsid w:val="003B39C1"/>
    <w:rsid w:val="003B3A40"/>
    <w:rsid w:val="003B4F96"/>
    <w:rsid w:val="003B50A6"/>
    <w:rsid w:val="003B58A2"/>
    <w:rsid w:val="003B5B44"/>
    <w:rsid w:val="003B62A2"/>
    <w:rsid w:val="003B7210"/>
    <w:rsid w:val="003B733A"/>
    <w:rsid w:val="003B7A05"/>
    <w:rsid w:val="003C02D5"/>
    <w:rsid w:val="003C038D"/>
    <w:rsid w:val="003C08B5"/>
    <w:rsid w:val="003C3282"/>
    <w:rsid w:val="003C3985"/>
    <w:rsid w:val="003C3CBD"/>
    <w:rsid w:val="003C421E"/>
    <w:rsid w:val="003C4622"/>
    <w:rsid w:val="003C4848"/>
    <w:rsid w:val="003C5941"/>
    <w:rsid w:val="003C6165"/>
    <w:rsid w:val="003C657D"/>
    <w:rsid w:val="003C6929"/>
    <w:rsid w:val="003C7337"/>
    <w:rsid w:val="003D120D"/>
    <w:rsid w:val="003D19A3"/>
    <w:rsid w:val="003D2802"/>
    <w:rsid w:val="003D3AF3"/>
    <w:rsid w:val="003D4EAF"/>
    <w:rsid w:val="003D4FE4"/>
    <w:rsid w:val="003D5C19"/>
    <w:rsid w:val="003D6459"/>
    <w:rsid w:val="003D65CF"/>
    <w:rsid w:val="003D7BE2"/>
    <w:rsid w:val="003E004B"/>
    <w:rsid w:val="003E052C"/>
    <w:rsid w:val="003E2249"/>
    <w:rsid w:val="003E25B1"/>
    <w:rsid w:val="003E2E95"/>
    <w:rsid w:val="003E373B"/>
    <w:rsid w:val="003E394E"/>
    <w:rsid w:val="003E3C3C"/>
    <w:rsid w:val="003E4035"/>
    <w:rsid w:val="003E4306"/>
    <w:rsid w:val="003E4731"/>
    <w:rsid w:val="003E70E9"/>
    <w:rsid w:val="003E7604"/>
    <w:rsid w:val="003F0164"/>
    <w:rsid w:val="003F1361"/>
    <w:rsid w:val="003F2CB0"/>
    <w:rsid w:val="003F32B5"/>
    <w:rsid w:val="003F3B91"/>
    <w:rsid w:val="003F4317"/>
    <w:rsid w:val="003F45EA"/>
    <w:rsid w:val="003F525F"/>
    <w:rsid w:val="003F5CF5"/>
    <w:rsid w:val="003F5FB6"/>
    <w:rsid w:val="003F6DE7"/>
    <w:rsid w:val="003F7046"/>
    <w:rsid w:val="003F728B"/>
    <w:rsid w:val="003F7AB1"/>
    <w:rsid w:val="00401EDB"/>
    <w:rsid w:val="00401FEB"/>
    <w:rsid w:val="00402A74"/>
    <w:rsid w:val="00403040"/>
    <w:rsid w:val="004035BC"/>
    <w:rsid w:val="004038F8"/>
    <w:rsid w:val="00403B04"/>
    <w:rsid w:val="00403F4B"/>
    <w:rsid w:val="00404C93"/>
    <w:rsid w:val="0040610C"/>
    <w:rsid w:val="004065AF"/>
    <w:rsid w:val="00407877"/>
    <w:rsid w:val="00410EC0"/>
    <w:rsid w:val="00410FA1"/>
    <w:rsid w:val="004112CE"/>
    <w:rsid w:val="00411326"/>
    <w:rsid w:val="00413121"/>
    <w:rsid w:val="004140A3"/>
    <w:rsid w:val="00415F33"/>
    <w:rsid w:val="0041604A"/>
    <w:rsid w:val="00417EFB"/>
    <w:rsid w:val="00420A9E"/>
    <w:rsid w:val="00421381"/>
    <w:rsid w:val="00421656"/>
    <w:rsid w:val="004216D8"/>
    <w:rsid w:val="00421DCE"/>
    <w:rsid w:val="00422685"/>
    <w:rsid w:val="004230F4"/>
    <w:rsid w:val="00423F4B"/>
    <w:rsid w:val="004242B2"/>
    <w:rsid w:val="00424668"/>
    <w:rsid w:val="0042489C"/>
    <w:rsid w:val="004251D3"/>
    <w:rsid w:val="004252B0"/>
    <w:rsid w:val="00425726"/>
    <w:rsid w:val="00426453"/>
    <w:rsid w:val="004276EE"/>
    <w:rsid w:val="00427A04"/>
    <w:rsid w:val="00430A6E"/>
    <w:rsid w:val="00431107"/>
    <w:rsid w:val="00431378"/>
    <w:rsid w:val="004318B3"/>
    <w:rsid w:val="00431973"/>
    <w:rsid w:val="00432A38"/>
    <w:rsid w:val="00432ACB"/>
    <w:rsid w:val="0043448C"/>
    <w:rsid w:val="00434D34"/>
    <w:rsid w:val="004353B8"/>
    <w:rsid w:val="004364C1"/>
    <w:rsid w:val="0043760F"/>
    <w:rsid w:val="004400E0"/>
    <w:rsid w:val="0044129E"/>
    <w:rsid w:val="004414F7"/>
    <w:rsid w:val="0044193E"/>
    <w:rsid w:val="00441AEB"/>
    <w:rsid w:val="00442A4B"/>
    <w:rsid w:val="004432BC"/>
    <w:rsid w:val="00443742"/>
    <w:rsid w:val="00443E09"/>
    <w:rsid w:val="00444974"/>
    <w:rsid w:val="0044543E"/>
    <w:rsid w:val="004455C7"/>
    <w:rsid w:val="00445738"/>
    <w:rsid w:val="00445C9A"/>
    <w:rsid w:val="00447D75"/>
    <w:rsid w:val="004507E9"/>
    <w:rsid w:val="004512C2"/>
    <w:rsid w:val="004515B0"/>
    <w:rsid w:val="004524AD"/>
    <w:rsid w:val="004533FB"/>
    <w:rsid w:val="004538A0"/>
    <w:rsid w:val="00453DA4"/>
    <w:rsid w:val="00454E20"/>
    <w:rsid w:val="00455782"/>
    <w:rsid w:val="00455B45"/>
    <w:rsid w:val="00457D66"/>
    <w:rsid w:val="004609B5"/>
    <w:rsid w:val="00460F04"/>
    <w:rsid w:val="004618BF"/>
    <w:rsid w:val="0046236D"/>
    <w:rsid w:val="00462477"/>
    <w:rsid w:val="00462589"/>
    <w:rsid w:val="004648CC"/>
    <w:rsid w:val="00464F60"/>
    <w:rsid w:val="00465A2E"/>
    <w:rsid w:val="00466DAF"/>
    <w:rsid w:val="0047108C"/>
    <w:rsid w:val="00472444"/>
    <w:rsid w:val="00472680"/>
    <w:rsid w:val="004726A6"/>
    <w:rsid w:val="00472DDE"/>
    <w:rsid w:val="00472E7B"/>
    <w:rsid w:val="00473208"/>
    <w:rsid w:val="00473286"/>
    <w:rsid w:val="004740A8"/>
    <w:rsid w:val="00474EBD"/>
    <w:rsid w:val="004762F5"/>
    <w:rsid w:val="00482C2C"/>
    <w:rsid w:val="00482E4E"/>
    <w:rsid w:val="0048351D"/>
    <w:rsid w:val="004836C8"/>
    <w:rsid w:val="00484152"/>
    <w:rsid w:val="00484E79"/>
    <w:rsid w:val="00485C22"/>
    <w:rsid w:val="00486663"/>
    <w:rsid w:val="00487281"/>
    <w:rsid w:val="0049052D"/>
    <w:rsid w:val="00490FFD"/>
    <w:rsid w:val="00491338"/>
    <w:rsid w:val="0049305F"/>
    <w:rsid w:val="00494BE0"/>
    <w:rsid w:val="004970CD"/>
    <w:rsid w:val="004A0D73"/>
    <w:rsid w:val="004A0EE5"/>
    <w:rsid w:val="004A15F9"/>
    <w:rsid w:val="004A1C2A"/>
    <w:rsid w:val="004A1C56"/>
    <w:rsid w:val="004A26C5"/>
    <w:rsid w:val="004A2916"/>
    <w:rsid w:val="004A35D8"/>
    <w:rsid w:val="004A5DF1"/>
    <w:rsid w:val="004A5F0A"/>
    <w:rsid w:val="004A73D8"/>
    <w:rsid w:val="004A7C14"/>
    <w:rsid w:val="004A7F75"/>
    <w:rsid w:val="004A7FA2"/>
    <w:rsid w:val="004B0106"/>
    <w:rsid w:val="004B0808"/>
    <w:rsid w:val="004B1521"/>
    <w:rsid w:val="004B1652"/>
    <w:rsid w:val="004B19F2"/>
    <w:rsid w:val="004B2689"/>
    <w:rsid w:val="004B2DFC"/>
    <w:rsid w:val="004B36A9"/>
    <w:rsid w:val="004B3B52"/>
    <w:rsid w:val="004B3C80"/>
    <w:rsid w:val="004B3FB5"/>
    <w:rsid w:val="004B41BE"/>
    <w:rsid w:val="004B4688"/>
    <w:rsid w:val="004B4733"/>
    <w:rsid w:val="004B4E42"/>
    <w:rsid w:val="004B50E4"/>
    <w:rsid w:val="004B5B4B"/>
    <w:rsid w:val="004B5BAC"/>
    <w:rsid w:val="004B5D62"/>
    <w:rsid w:val="004B7232"/>
    <w:rsid w:val="004C14AC"/>
    <w:rsid w:val="004C1FA4"/>
    <w:rsid w:val="004C2613"/>
    <w:rsid w:val="004C2BC1"/>
    <w:rsid w:val="004C345F"/>
    <w:rsid w:val="004C4DE5"/>
    <w:rsid w:val="004C50E0"/>
    <w:rsid w:val="004C6759"/>
    <w:rsid w:val="004C7D88"/>
    <w:rsid w:val="004D08D8"/>
    <w:rsid w:val="004D13F9"/>
    <w:rsid w:val="004D1574"/>
    <w:rsid w:val="004D1E63"/>
    <w:rsid w:val="004D332E"/>
    <w:rsid w:val="004D3C8A"/>
    <w:rsid w:val="004D3D0B"/>
    <w:rsid w:val="004D3E44"/>
    <w:rsid w:val="004D4D9E"/>
    <w:rsid w:val="004D6199"/>
    <w:rsid w:val="004D64BA"/>
    <w:rsid w:val="004D761B"/>
    <w:rsid w:val="004D7E2E"/>
    <w:rsid w:val="004D7F76"/>
    <w:rsid w:val="004E0026"/>
    <w:rsid w:val="004E0396"/>
    <w:rsid w:val="004E0515"/>
    <w:rsid w:val="004E1503"/>
    <w:rsid w:val="004E17E4"/>
    <w:rsid w:val="004E226D"/>
    <w:rsid w:val="004E22E2"/>
    <w:rsid w:val="004E4D40"/>
    <w:rsid w:val="004E4E39"/>
    <w:rsid w:val="004E56F4"/>
    <w:rsid w:val="004E6206"/>
    <w:rsid w:val="004E690D"/>
    <w:rsid w:val="004E6F76"/>
    <w:rsid w:val="004F1D59"/>
    <w:rsid w:val="004F26BA"/>
    <w:rsid w:val="004F29ED"/>
    <w:rsid w:val="004F3F16"/>
    <w:rsid w:val="004F3F74"/>
    <w:rsid w:val="004F4CAD"/>
    <w:rsid w:val="004F53FC"/>
    <w:rsid w:val="004F587F"/>
    <w:rsid w:val="004F5AE4"/>
    <w:rsid w:val="004F62FC"/>
    <w:rsid w:val="004F6D1C"/>
    <w:rsid w:val="004F7915"/>
    <w:rsid w:val="004F7E27"/>
    <w:rsid w:val="00500D04"/>
    <w:rsid w:val="005016D0"/>
    <w:rsid w:val="0050288C"/>
    <w:rsid w:val="00502B4B"/>
    <w:rsid w:val="00502BF6"/>
    <w:rsid w:val="00505007"/>
    <w:rsid w:val="005053A1"/>
    <w:rsid w:val="005056C0"/>
    <w:rsid w:val="00506973"/>
    <w:rsid w:val="00507124"/>
    <w:rsid w:val="0050714B"/>
    <w:rsid w:val="00507174"/>
    <w:rsid w:val="00507556"/>
    <w:rsid w:val="00507738"/>
    <w:rsid w:val="005078E2"/>
    <w:rsid w:val="00507E70"/>
    <w:rsid w:val="00507E81"/>
    <w:rsid w:val="0051013F"/>
    <w:rsid w:val="005102D4"/>
    <w:rsid w:val="00510DC0"/>
    <w:rsid w:val="00510DFD"/>
    <w:rsid w:val="00511032"/>
    <w:rsid w:val="00511528"/>
    <w:rsid w:val="005132BA"/>
    <w:rsid w:val="00513C9D"/>
    <w:rsid w:val="00515258"/>
    <w:rsid w:val="00515300"/>
    <w:rsid w:val="005203A7"/>
    <w:rsid w:val="00520478"/>
    <w:rsid w:val="005204B0"/>
    <w:rsid w:val="0052057D"/>
    <w:rsid w:val="005206C7"/>
    <w:rsid w:val="005225E4"/>
    <w:rsid w:val="00522ECE"/>
    <w:rsid w:val="005232E4"/>
    <w:rsid w:val="00523C13"/>
    <w:rsid w:val="00524463"/>
    <w:rsid w:val="005257C2"/>
    <w:rsid w:val="00525A00"/>
    <w:rsid w:val="00526305"/>
    <w:rsid w:val="0052643D"/>
    <w:rsid w:val="00526829"/>
    <w:rsid w:val="00531515"/>
    <w:rsid w:val="00531B3B"/>
    <w:rsid w:val="00533A75"/>
    <w:rsid w:val="00533CFE"/>
    <w:rsid w:val="0053631F"/>
    <w:rsid w:val="00536C76"/>
    <w:rsid w:val="00536FAE"/>
    <w:rsid w:val="00537C82"/>
    <w:rsid w:val="00540210"/>
    <w:rsid w:val="00540F79"/>
    <w:rsid w:val="00541A9A"/>
    <w:rsid w:val="00542498"/>
    <w:rsid w:val="00542533"/>
    <w:rsid w:val="00544233"/>
    <w:rsid w:val="005447F5"/>
    <w:rsid w:val="00545149"/>
    <w:rsid w:val="00546449"/>
    <w:rsid w:val="0054654F"/>
    <w:rsid w:val="005477DF"/>
    <w:rsid w:val="00547923"/>
    <w:rsid w:val="005508E9"/>
    <w:rsid w:val="005524E6"/>
    <w:rsid w:val="00552BF1"/>
    <w:rsid w:val="0055302A"/>
    <w:rsid w:val="005532F3"/>
    <w:rsid w:val="005537D3"/>
    <w:rsid w:val="005537EC"/>
    <w:rsid w:val="00553AC3"/>
    <w:rsid w:val="005544EF"/>
    <w:rsid w:val="005549E6"/>
    <w:rsid w:val="00555812"/>
    <w:rsid w:val="005558D7"/>
    <w:rsid w:val="00556DBE"/>
    <w:rsid w:val="00557E9C"/>
    <w:rsid w:val="00560CFA"/>
    <w:rsid w:val="00560E1D"/>
    <w:rsid w:val="005624B6"/>
    <w:rsid w:val="005633B5"/>
    <w:rsid w:val="00563A19"/>
    <w:rsid w:val="00563AC1"/>
    <w:rsid w:val="00564B75"/>
    <w:rsid w:val="00564C35"/>
    <w:rsid w:val="00564C9F"/>
    <w:rsid w:val="005650FD"/>
    <w:rsid w:val="00565223"/>
    <w:rsid w:val="00566ACD"/>
    <w:rsid w:val="00566BB7"/>
    <w:rsid w:val="00567418"/>
    <w:rsid w:val="00567DAB"/>
    <w:rsid w:val="00570735"/>
    <w:rsid w:val="00571028"/>
    <w:rsid w:val="0057237F"/>
    <w:rsid w:val="0057268D"/>
    <w:rsid w:val="005735AB"/>
    <w:rsid w:val="00573CD2"/>
    <w:rsid w:val="005743AA"/>
    <w:rsid w:val="005746AD"/>
    <w:rsid w:val="0057631A"/>
    <w:rsid w:val="00576375"/>
    <w:rsid w:val="00576E14"/>
    <w:rsid w:val="0057714E"/>
    <w:rsid w:val="00577402"/>
    <w:rsid w:val="00580985"/>
    <w:rsid w:val="00580A0E"/>
    <w:rsid w:val="005815DA"/>
    <w:rsid w:val="005818E7"/>
    <w:rsid w:val="00583718"/>
    <w:rsid w:val="0058376F"/>
    <w:rsid w:val="00583D57"/>
    <w:rsid w:val="00583DB8"/>
    <w:rsid w:val="00586484"/>
    <w:rsid w:val="00586706"/>
    <w:rsid w:val="00586793"/>
    <w:rsid w:val="005870D2"/>
    <w:rsid w:val="0059055A"/>
    <w:rsid w:val="00591298"/>
    <w:rsid w:val="005916FF"/>
    <w:rsid w:val="00591B39"/>
    <w:rsid w:val="005926F8"/>
    <w:rsid w:val="005947AA"/>
    <w:rsid w:val="00594A27"/>
    <w:rsid w:val="00594B9F"/>
    <w:rsid w:val="00595F72"/>
    <w:rsid w:val="0059659D"/>
    <w:rsid w:val="005975B4"/>
    <w:rsid w:val="005978F9"/>
    <w:rsid w:val="00597EEC"/>
    <w:rsid w:val="005A086A"/>
    <w:rsid w:val="005A08C5"/>
    <w:rsid w:val="005A0B6E"/>
    <w:rsid w:val="005A0F4B"/>
    <w:rsid w:val="005A1820"/>
    <w:rsid w:val="005A1D3C"/>
    <w:rsid w:val="005A1DE7"/>
    <w:rsid w:val="005A2554"/>
    <w:rsid w:val="005A2BBA"/>
    <w:rsid w:val="005A2D04"/>
    <w:rsid w:val="005A3F34"/>
    <w:rsid w:val="005A42C3"/>
    <w:rsid w:val="005A45D4"/>
    <w:rsid w:val="005A4CDC"/>
    <w:rsid w:val="005A544E"/>
    <w:rsid w:val="005A5871"/>
    <w:rsid w:val="005A5ADF"/>
    <w:rsid w:val="005A697A"/>
    <w:rsid w:val="005A69A0"/>
    <w:rsid w:val="005A6B99"/>
    <w:rsid w:val="005A7506"/>
    <w:rsid w:val="005A7EC9"/>
    <w:rsid w:val="005B1946"/>
    <w:rsid w:val="005B2474"/>
    <w:rsid w:val="005B2A13"/>
    <w:rsid w:val="005B2D03"/>
    <w:rsid w:val="005B471C"/>
    <w:rsid w:val="005B4F96"/>
    <w:rsid w:val="005B508B"/>
    <w:rsid w:val="005B7271"/>
    <w:rsid w:val="005C165B"/>
    <w:rsid w:val="005C26D7"/>
    <w:rsid w:val="005C2984"/>
    <w:rsid w:val="005C2D9C"/>
    <w:rsid w:val="005C411A"/>
    <w:rsid w:val="005C4199"/>
    <w:rsid w:val="005C541B"/>
    <w:rsid w:val="005C5840"/>
    <w:rsid w:val="005C5BB7"/>
    <w:rsid w:val="005C5CBF"/>
    <w:rsid w:val="005C5EFE"/>
    <w:rsid w:val="005C5F82"/>
    <w:rsid w:val="005C6207"/>
    <w:rsid w:val="005C6F20"/>
    <w:rsid w:val="005C7124"/>
    <w:rsid w:val="005D05C0"/>
    <w:rsid w:val="005D0E5A"/>
    <w:rsid w:val="005D284A"/>
    <w:rsid w:val="005D2F3D"/>
    <w:rsid w:val="005D3C46"/>
    <w:rsid w:val="005D4EA8"/>
    <w:rsid w:val="005D4F23"/>
    <w:rsid w:val="005D551C"/>
    <w:rsid w:val="005D5A82"/>
    <w:rsid w:val="005D6A9A"/>
    <w:rsid w:val="005E002C"/>
    <w:rsid w:val="005E0475"/>
    <w:rsid w:val="005E07D8"/>
    <w:rsid w:val="005E23FF"/>
    <w:rsid w:val="005E3442"/>
    <w:rsid w:val="005E37B3"/>
    <w:rsid w:val="005E5043"/>
    <w:rsid w:val="005E5198"/>
    <w:rsid w:val="005E632C"/>
    <w:rsid w:val="005F156E"/>
    <w:rsid w:val="005F17FA"/>
    <w:rsid w:val="005F3197"/>
    <w:rsid w:val="005F3D12"/>
    <w:rsid w:val="005F3FD1"/>
    <w:rsid w:val="005F4365"/>
    <w:rsid w:val="005F43F4"/>
    <w:rsid w:val="005F4E25"/>
    <w:rsid w:val="005F5286"/>
    <w:rsid w:val="005F5EBE"/>
    <w:rsid w:val="005F5F89"/>
    <w:rsid w:val="005F60F6"/>
    <w:rsid w:val="005F6418"/>
    <w:rsid w:val="005F715A"/>
    <w:rsid w:val="005F7923"/>
    <w:rsid w:val="006004C6"/>
    <w:rsid w:val="0060065E"/>
    <w:rsid w:val="00600AC3"/>
    <w:rsid w:val="00600B91"/>
    <w:rsid w:val="0060168A"/>
    <w:rsid w:val="00601E69"/>
    <w:rsid w:val="0060282D"/>
    <w:rsid w:val="00602FFA"/>
    <w:rsid w:val="00603355"/>
    <w:rsid w:val="00603AF6"/>
    <w:rsid w:val="00604834"/>
    <w:rsid w:val="0060611D"/>
    <w:rsid w:val="0060617C"/>
    <w:rsid w:val="006066F5"/>
    <w:rsid w:val="00610304"/>
    <w:rsid w:val="00610900"/>
    <w:rsid w:val="00610F11"/>
    <w:rsid w:val="006130AE"/>
    <w:rsid w:val="00613668"/>
    <w:rsid w:val="00613BE8"/>
    <w:rsid w:val="00614755"/>
    <w:rsid w:val="00614B8D"/>
    <w:rsid w:val="0061599B"/>
    <w:rsid w:val="00616DC1"/>
    <w:rsid w:val="006173AC"/>
    <w:rsid w:val="0061799C"/>
    <w:rsid w:val="00620172"/>
    <w:rsid w:val="00620951"/>
    <w:rsid w:val="006212B7"/>
    <w:rsid w:val="006227F8"/>
    <w:rsid w:val="0062301C"/>
    <w:rsid w:val="006256AF"/>
    <w:rsid w:val="0062591C"/>
    <w:rsid w:val="00625AF3"/>
    <w:rsid w:val="00625EF4"/>
    <w:rsid w:val="00625F3B"/>
    <w:rsid w:val="0063071E"/>
    <w:rsid w:val="0063271C"/>
    <w:rsid w:val="00632B18"/>
    <w:rsid w:val="00632F9B"/>
    <w:rsid w:val="0063309C"/>
    <w:rsid w:val="00633C65"/>
    <w:rsid w:val="0063457E"/>
    <w:rsid w:val="00634750"/>
    <w:rsid w:val="0063482F"/>
    <w:rsid w:val="00635814"/>
    <w:rsid w:val="00636E70"/>
    <w:rsid w:val="00637426"/>
    <w:rsid w:val="00637603"/>
    <w:rsid w:val="00637EEC"/>
    <w:rsid w:val="006405F2"/>
    <w:rsid w:val="00640612"/>
    <w:rsid w:val="006407E2"/>
    <w:rsid w:val="00640EF4"/>
    <w:rsid w:val="006421D3"/>
    <w:rsid w:val="006430D0"/>
    <w:rsid w:val="006436A4"/>
    <w:rsid w:val="00643C41"/>
    <w:rsid w:val="00643FE2"/>
    <w:rsid w:val="00644D1A"/>
    <w:rsid w:val="00645A6D"/>
    <w:rsid w:val="0064622C"/>
    <w:rsid w:val="00647ECC"/>
    <w:rsid w:val="006501DD"/>
    <w:rsid w:val="0065054A"/>
    <w:rsid w:val="00652077"/>
    <w:rsid w:val="0065260E"/>
    <w:rsid w:val="0065303D"/>
    <w:rsid w:val="006533A6"/>
    <w:rsid w:val="00653558"/>
    <w:rsid w:val="00655864"/>
    <w:rsid w:val="00655FF6"/>
    <w:rsid w:val="0065632F"/>
    <w:rsid w:val="00656388"/>
    <w:rsid w:val="0065673F"/>
    <w:rsid w:val="00656B96"/>
    <w:rsid w:val="00656E07"/>
    <w:rsid w:val="00657909"/>
    <w:rsid w:val="00657A91"/>
    <w:rsid w:val="006602C0"/>
    <w:rsid w:val="00660781"/>
    <w:rsid w:val="0066142A"/>
    <w:rsid w:val="00663E4D"/>
    <w:rsid w:val="006642CB"/>
    <w:rsid w:val="006648DB"/>
    <w:rsid w:val="00665032"/>
    <w:rsid w:val="006650A3"/>
    <w:rsid w:val="00666032"/>
    <w:rsid w:val="00667A6E"/>
    <w:rsid w:val="00667B42"/>
    <w:rsid w:val="0067005D"/>
    <w:rsid w:val="00670480"/>
    <w:rsid w:val="00670C95"/>
    <w:rsid w:val="006745E5"/>
    <w:rsid w:val="006750BA"/>
    <w:rsid w:val="006755C9"/>
    <w:rsid w:val="006804BC"/>
    <w:rsid w:val="00680D5C"/>
    <w:rsid w:val="00681460"/>
    <w:rsid w:val="00682D2F"/>
    <w:rsid w:val="00682E79"/>
    <w:rsid w:val="00684225"/>
    <w:rsid w:val="00684AB2"/>
    <w:rsid w:val="00686B20"/>
    <w:rsid w:val="00686C39"/>
    <w:rsid w:val="006871CD"/>
    <w:rsid w:val="00687E53"/>
    <w:rsid w:val="00691CD8"/>
    <w:rsid w:val="0069204A"/>
    <w:rsid w:val="0069261F"/>
    <w:rsid w:val="00692A88"/>
    <w:rsid w:val="00693C6C"/>
    <w:rsid w:val="00693FB1"/>
    <w:rsid w:val="0069426F"/>
    <w:rsid w:val="0069490C"/>
    <w:rsid w:val="00694D10"/>
    <w:rsid w:val="00695029"/>
    <w:rsid w:val="00695816"/>
    <w:rsid w:val="00696395"/>
    <w:rsid w:val="006971D5"/>
    <w:rsid w:val="00697DB3"/>
    <w:rsid w:val="006A0AE1"/>
    <w:rsid w:val="006A2F24"/>
    <w:rsid w:val="006A3A94"/>
    <w:rsid w:val="006A4021"/>
    <w:rsid w:val="006A4575"/>
    <w:rsid w:val="006A461D"/>
    <w:rsid w:val="006A4EF0"/>
    <w:rsid w:val="006A5873"/>
    <w:rsid w:val="006A59C1"/>
    <w:rsid w:val="006A7346"/>
    <w:rsid w:val="006B048D"/>
    <w:rsid w:val="006B1CD0"/>
    <w:rsid w:val="006B2748"/>
    <w:rsid w:val="006B34DE"/>
    <w:rsid w:val="006B45BA"/>
    <w:rsid w:val="006B470F"/>
    <w:rsid w:val="006B4BBF"/>
    <w:rsid w:val="006B5432"/>
    <w:rsid w:val="006B5833"/>
    <w:rsid w:val="006B5942"/>
    <w:rsid w:val="006B5A8A"/>
    <w:rsid w:val="006B68D1"/>
    <w:rsid w:val="006B6F31"/>
    <w:rsid w:val="006B7059"/>
    <w:rsid w:val="006B7FE3"/>
    <w:rsid w:val="006C0ADF"/>
    <w:rsid w:val="006C1ED9"/>
    <w:rsid w:val="006C240D"/>
    <w:rsid w:val="006C3E3B"/>
    <w:rsid w:val="006C4176"/>
    <w:rsid w:val="006C4252"/>
    <w:rsid w:val="006C4A20"/>
    <w:rsid w:val="006C4DA9"/>
    <w:rsid w:val="006C5990"/>
    <w:rsid w:val="006C5A1B"/>
    <w:rsid w:val="006C5EFA"/>
    <w:rsid w:val="006C66EF"/>
    <w:rsid w:val="006D0706"/>
    <w:rsid w:val="006D0A72"/>
    <w:rsid w:val="006D0DAE"/>
    <w:rsid w:val="006D0FCF"/>
    <w:rsid w:val="006D127B"/>
    <w:rsid w:val="006D16A8"/>
    <w:rsid w:val="006D2617"/>
    <w:rsid w:val="006D2A8D"/>
    <w:rsid w:val="006D2DD4"/>
    <w:rsid w:val="006D3308"/>
    <w:rsid w:val="006D4C3F"/>
    <w:rsid w:val="006D5DF9"/>
    <w:rsid w:val="006D6B63"/>
    <w:rsid w:val="006D7B1D"/>
    <w:rsid w:val="006E00CB"/>
    <w:rsid w:val="006E08F9"/>
    <w:rsid w:val="006E15CC"/>
    <w:rsid w:val="006E1AE7"/>
    <w:rsid w:val="006E2386"/>
    <w:rsid w:val="006E25C5"/>
    <w:rsid w:val="006E44A3"/>
    <w:rsid w:val="006E6BE1"/>
    <w:rsid w:val="006E77EB"/>
    <w:rsid w:val="006E7B2F"/>
    <w:rsid w:val="006E7D99"/>
    <w:rsid w:val="006F0F31"/>
    <w:rsid w:val="006F1529"/>
    <w:rsid w:val="006F2648"/>
    <w:rsid w:val="006F26AA"/>
    <w:rsid w:val="006F2812"/>
    <w:rsid w:val="006F2834"/>
    <w:rsid w:val="006F31E2"/>
    <w:rsid w:val="006F3CFB"/>
    <w:rsid w:val="006F4983"/>
    <w:rsid w:val="006F4CE5"/>
    <w:rsid w:val="006F5552"/>
    <w:rsid w:val="006F5B22"/>
    <w:rsid w:val="006F6309"/>
    <w:rsid w:val="00701206"/>
    <w:rsid w:val="0070152E"/>
    <w:rsid w:val="007019E4"/>
    <w:rsid w:val="00701DD9"/>
    <w:rsid w:val="00701FDE"/>
    <w:rsid w:val="00702896"/>
    <w:rsid w:val="00706FB8"/>
    <w:rsid w:val="0070789F"/>
    <w:rsid w:val="00707A7D"/>
    <w:rsid w:val="00710D23"/>
    <w:rsid w:val="00710F91"/>
    <w:rsid w:val="007128AA"/>
    <w:rsid w:val="00713440"/>
    <w:rsid w:val="007156E5"/>
    <w:rsid w:val="00716543"/>
    <w:rsid w:val="00716580"/>
    <w:rsid w:val="007167AA"/>
    <w:rsid w:val="00716DDF"/>
    <w:rsid w:val="00717723"/>
    <w:rsid w:val="0071789F"/>
    <w:rsid w:val="00717E78"/>
    <w:rsid w:val="00720FC5"/>
    <w:rsid w:val="0072157A"/>
    <w:rsid w:val="00721D03"/>
    <w:rsid w:val="00721E7F"/>
    <w:rsid w:val="00722683"/>
    <w:rsid w:val="00722888"/>
    <w:rsid w:val="00722A8B"/>
    <w:rsid w:val="00724933"/>
    <w:rsid w:val="00724A28"/>
    <w:rsid w:val="00724D00"/>
    <w:rsid w:val="00724D6C"/>
    <w:rsid w:val="00726E1E"/>
    <w:rsid w:val="0072704E"/>
    <w:rsid w:val="007277DD"/>
    <w:rsid w:val="007302FC"/>
    <w:rsid w:val="007329FE"/>
    <w:rsid w:val="00733398"/>
    <w:rsid w:val="00733790"/>
    <w:rsid w:val="00733A42"/>
    <w:rsid w:val="007343C3"/>
    <w:rsid w:val="0073446F"/>
    <w:rsid w:val="00734992"/>
    <w:rsid w:val="00735311"/>
    <w:rsid w:val="00735454"/>
    <w:rsid w:val="0073573E"/>
    <w:rsid w:val="00735DDA"/>
    <w:rsid w:val="007368F2"/>
    <w:rsid w:val="00736FF3"/>
    <w:rsid w:val="0074148A"/>
    <w:rsid w:val="0074185A"/>
    <w:rsid w:val="0074187D"/>
    <w:rsid w:val="007420B6"/>
    <w:rsid w:val="007422BB"/>
    <w:rsid w:val="00744493"/>
    <w:rsid w:val="00745CE3"/>
    <w:rsid w:val="00746000"/>
    <w:rsid w:val="0074674B"/>
    <w:rsid w:val="00746CEB"/>
    <w:rsid w:val="007476B2"/>
    <w:rsid w:val="00751394"/>
    <w:rsid w:val="00751C45"/>
    <w:rsid w:val="007522A1"/>
    <w:rsid w:val="00753B02"/>
    <w:rsid w:val="00753EA2"/>
    <w:rsid w:val="00754923"/>
    <w:rsid w:val="0075504F"/>
    <w:rsid w:val="00755058"/>
    <w:rsid w:val="00755060"/>
    <w:rsid w:val="0075535E"/>
    <w:rsid w:val="007566CB"/>
    <w:rsid w:val="007568FE"/>
    <w:rsid w:val="00756D4A"/>
    <w:rsid w:val="00757067"/>
    <w:rsid w:val="00760174"/>
    <w:rsid w:val="007603D5"/>
    <w:rsid w:val="00761984"/>
    <w:rsid w:val="007627F5"/>
    <w:rsid w:val="00762A0A"/>
    <w:rsid w:val="00763D19"/>
    <w:rsid w:val="00763FB0"/>
    <w:rsid w:val="007646A9"/>
    <w:rsid w:val="007649C9"/>
    <w:rsid w:val="00765727"/>
    <w:rsid w:val="00765AF3"/>
    <w:rsid w:val="00765B7E"/>
    <w:rsid w:val="00766FB8"/>
    <w:rsid w:val="00767365"/>
    <w:rsid w:val="00767465"/>
    <w:rsid w:val="00770006"/>
    <w:rsid w:val="00770B8B"/>
    <w:rsid w:val="0077138E"/>
    <w:rsid w:val="00771626"/>
    <w:rsid w:val="00771A25"/>
    <w:rsid w:val="00772326"/>
    <w:rsid w:val="00772510"/>
    <w:rsid w:val="00773B44"/>
    <w:rsid w:val="007746E3"/>
    <w:rsid w:val="00776003"/>
    <w:rsid w:val="00776098"/>
    <w:rsid w:val="007802D9"/>
    <w:rsid w:val="007806E5"/>
    <w:rsid w:val="007810BD"/>
    <w:rsid w:val="007814CA"/>
    <w:rsid w:val="00783135"/>
    <w:rsid w:val="00783AF2"/>
    <w:rsid w:val="007857B6"/>
    <w:rsid w:val="00786A20"/>
    <w:rsid w:val="00790B57"/>
    <w:rsid w:val="00793173"/>
    <w:rsid w:val="0079324A"/>
    <w:rsid w:val="007932F9"/>
    <w:rsid w:val="00794AD2"/>
    <w:rsid w:val="007956A8"/>
    <w:rsid w:val="007966B2"/>
    <w:rsid w:val="00796715"/>
    <w:rsid w:val="00796D53"/>
    <w:rsid w:val="00796ECD"/>
    <w:rsid w:val="007A0018"/>
    <w:rsid w:val="007A038B"/>
    <w:rsid w:val="007A3690"/>
    <w:rsid w:val="007A37E3"/>
    <w:rsid w:val="007A4168"/>
    <w:rsid w:val="007A52FC"/>
    <w:rsid w:val="007A5D48"/>
    <w:rsid w:val="007A5ED0"/>
    <w:rsid w:val="007A6091"/>
    <w:rsid w:val="007A6609"/>
    <w:rsid w:val="007A6C09"/>
    <w:rsid w:val="007A6C6B"/>
    <w:rsid w:val="007A71A3"/>
    <w:rsid w:val="007B03E8"/>
    <w:rsid w:val="007B09B7"/>
    <w:rsid w:val="007B12DB"/>
    <w:rsid w:val="007B15BC"/>
    <w:rsid w:val="007B33EA"/>
    <w:rsid w:val="007B3A4F"/>
    <w:rsid w:val="007B51B5"/>
    <w:rsid w:val="007B73FA"/>
    <w:rsid w:val="007B77D6"/>
    <w:rsid w:val="007C0169"/>
    <w:rsid w:val="007C07C5"/>
    <w:rsid w:val="007C17F4"/>
    <w:rsid w:val="007C295A"/>
    <w:rsid w:val="007C29A6"/>
    <w:rsid w:val="007C2B54"/>
    <w:rsid w:val="007C3503"/>
    <w:rsid w:val="007C3583"/>
    <w:rsid w:val="007C3CDF"/>
    <w:rsid w:val="007C3FD5"/>
    <w:rsid w:val="007C41D8"/>
    <w:rsid w:val="007C4A6F"/>
    <w:rsid w:val="007C4BE4"/>
    <w:rsid w:val="007C5332"/>
    <w:rsid w:val="007C592B"/>
    <w:rsid w:val="007C6B33"/>
    <w:rsid w:val="007C7E89"/>
    <w:rsid w:val="007D17ED"/>
    <w:rsid w:val="007D28CA"/>
    <w:rsid w:val="007D34E6"/>
    <w:rsid w:val="007D35CA"/>
    <w:rsid w:val="007D39D3"/>
    <w:rsid w:val="007D637A"/>
    <w:rsid w:val="007D64E1"/>
    <w:rsid w:val="007D660B"/>
    <w:rsid w:val="007D6860"/>
    <w:rsid w:val="007D6A12"/>
    <w:rsid w:val="007E0634"/>
    <w:rsid w:val="007E18AD"/>
    <w:rsid w:val="007E2547"/>
    <w:rsid w:val="007E2CA4"/>
    <w:rsid w:val="007E2E2F"/>
    <w:rsid w:val="007E3379"/>
    <w:rsid w:val="007E375A"/>
    <w:rsid w:val="007E3B85"/>
    <w:rsid w:val="007E511C"/>
    <w:rsid w:val="007E5C89"/>
    <w:rsid w:val="007E5CA1"/>
    <w:rsid w:val="007E69CF"/>
    <w:rsid w:val="007E7434"/>
    <w:rsid w:val="007E771E"/>
    <w:rsid w:val="007F041D"/>
    <w:rsid w:val="007F0534"/>
    <w:rsid w:val="007F111E"/>
    <w:rsid w:val="007F16D4"/>
    <w:rsid w:val="007F24D1"/>
    <w:rsid w:val="007F2E9A"/>
    <w:rsid w:val="007F3542"/>
    <w:rsid w:val="007F4DF6"/>
    <w:rsid w:val="007F514C"/>
    <w:rsid w:val="007F5159"/>
    <w:rsid w:val="007F51AA"/>
    <w:rsid w:val="007F56DA"/>
    <w:rsid w:val="007F5D7E"/>
    <w:rsid w:val="007F5E4E"/>
    <w:rsid w:val="007F69D8"/>
    <w:rsid w:val="007F74A0"/>
    <w:rsid w:val="007F7AFB"/>
    <w:rsid w:val="007F7BAB"/>
    <w:rsid w:val="00800BC2"/>
    <w:rsid w:val="0080144E"/>
    <w:rsid w:val="008026E8"/>
    <w:rsid w:val="00802988"/>
    <w:rsid w:val="00803060"/>
    <w:rsid w:val="008043D4"/>
    <w:rsid w:val="00804500"/>
    <w:rsid w:val="00804A0F"/>
    <w:rsid w:val="00805007"/>
    <w:rsid w:val="00805098"/>
    <w:rsid w:val="008058EE"/>
    <w:rsid w:val="00805A17"/>
    <w:rsid w:val="00805F50"/>
    <w:rsid w:val="00807AE7"/>
    <w:rsid w:val="00811419"/>
    <w:rsid w:val="00811823"/>
    <w:rsid w:val="00812163"/>
    <w:rsid w:val="008133F5"/>
    <w:rsid w:val="008135AE"/>
    <w:rsid w:val="008144F7"/>
    <w:rsid w:val="00814898"/>
    <w:rsid w:val="00814A82"/>
    <w:rsid w:val="008150C6"/>
    <w:rsid w:val="00815C27"/>
    <w:rsid w:val="00815C66"/>
    <w:rsid w:val="0081603C"/>
    <w:rsid w:val="00817336"/>
    <w:rsid w:val="008175FB"/>
    <w:rsid w:val="008223D1"/>
    <w:rsid w:val="00822611"/>
    <w:rsid w:val="00824BE1"/>
    <w:rsid w:val="008259D8"/>
    <w:rsid w:val="0082654A"/>
    <w:rsid w:val="008266CD"/>
    <w:rsid w:val="00826A73"/>
    <w:rsid w:val="00826AB9"/>
    <w:rsid w:val="00826ED8"/>
    <w:rsid w:val="00826F79"/>
    <w:rsid w:val="00827CA8"/>
    <w:rsid w:val="008300A5"/>
    <w:rsid w:val="00830DD9"/>
    <w:rsid w:val="00831F56"/>
    <w:rsid w:val="00833465"/>
    <w:rsid w:val="00833C2D"/>
    <w:rsid w:val="00834140"/>
    <w:rsid w:val="00834346"/>
    <w:rsid w:val="0083483B"/>
    <w:rsid w:val="00835006"/>
    <w:rsid w:val="00835081"/>
    <w:rsid w:val="008355D6"/>
    <w:rsid w:val="0083567A"/>
    <w:rsid w:val="008357B6"/>
    <w:rsid w:val="00837043"/>
    <w:rsid w:val="0084027F"/>
    <w:rsid w:val="00840648"/>
    <w:rsid w:val="0084132A"/>
    <w:rsid w:val="00843091"/>
    <w:rsid w:val="00844B2A"/>
    <w:rsid w:val="008452BA"/>
    <w:rsid w:val="008456C0"/>
    <w:rsid w:val="00846116"/>
    <w:rsid w:val="00847020"/>
    <w:rsid w:val="0084752F"/>
    <w:rsid w:val="00847595"/>
    <w:rsid w:val="008475AA"/>
    <w:rsid w:val="00847865"/>
    <w:rsid w:val="00847FD3"/>
    <w:rsid w:val="00850152"/>
    <w:rsid w:val="008507FB"/>
    <w:rsid w:val="00850C39"/>
    <w:rsid w:val="00850F68"/>
    <w:rsid w:val="008512C3"/>
    <w:rsid w:val="00852BED"/>
    <w:rsid w:val="00852CB4"/>
    <w:rsid w:val="00853579"/>
    <w:rsid w:val="00854648"/>
    <w:rsid w:val="0085487F"/>
    <w:rsid w:val="008555CA"/>
    <w:rsid w:val="008563D8"/>
    <w:rsid w:val="008570B6"/>
    <w:rsid w:val="0085798D"/>
    <w:rsid w:val="00860F06"/>
    <w:rsid w:val="00861A01"/>
    <w:rsid w:val="00861AE3"/>
    <w:rsid w:val="00861AF3"/>
    <w:rsid w:val="00863F4F"/>
    <w:rsid w:val="00864CCB"/>
    <w:rsid w:val="0086532A"/>
    <w:rsid w:val="00865962"/>
    <w:rsid w:val="00866796"/>
    <w:rsid w:val="00866993"/>
    <w:rsid w:val="008670D2"/>
    <w:rsid w:val="00867592"/>
    <w:rsid w:val="00870378"/>
    <w:rsid w:val="00871C0A"/>
    <w:rsid w:val="00872108"/>
    <w:rsid w:val="008721E7"/>
    <w:rsid w:val="008731F2"/>
    <w:rsid w:val="00873502"/>
    <w:rsid w:val="00874366"/>
    <w:rsid w:val="00874841"/>
    <w:rsid w:val="00875552"/>
    <w:rsid w:val="00875D2E"/>
    <w:rsid w:val="00877755"/>
    <w:rsid w:val="0088034C"/>
    <w:rsid w:val="00881327"/>
    <w:rsid w:val="008817EF"/>
    <w:rsid w:val="00882458"/>
    <w:rsid w:val="008825BA"/>
    <w:rsid w:val="008828B1"/>
    <w:rsid w:val="0088338B"/>
    <w:rsid w:val="008865F6"/>
    <w:rsid w:val="00887A45"/>
    <w:rsid w:val="008907C3"/>
    <w:rsid w:val="00890FB6"/>
    <w:rsid w:val="00891F3E"/>
    <w:rsid w:val="008924A6"/>
    <w:rsid w:val="00892E54"/>
    <w:rsid w:val="00892F78"/>
    <w:rsid w:val="00893977"/>
    <w:rsid w:val="0089456C"/>
    <w:rsid w:val="00895597"/>
    <w:rsid w:val="008955AC"/>
    <w:rsid w:val="0089569F"/>
    <w:rsid w:val="00895869"/>
    <w:rsid w:val="00896068"/>
    <w:rsid w:val="00897379"/>
    <w:rsid w:val="008974BB"/>
    <w:rsid w:val="008A01C9"/>
    <w:rsid w:val="008A0763"/>
    <w:rsid w:val="008A15BE"/>
    <w:rsid w:val="008A15E8"/>
    <w:rsid w:val="008A184F"/>
    <w:rsid w:val="008A19F2"/>
    <w:rsid w:val="008A21C9"/>
    <w:rsid w:val="008A2810"/>
    <w:rsid w:val="008A43EE"/>
    <w:rsid w:val="008A4E50"/>
    <w:rsid w:val="008A58E9"/>
    <w:rsid w:val="008A704D"/>
    <w:rsid w:val="008A7154"/>
    <w:rsid w:val="008A76ED"/>
    <w:rsid w:val="008A783F"/>
    <w:rsid w:val="008B014D"/>
    <w:rsid w:val="008B1337"/>
    <w:rsid w:val="008B164A"/>
    <w:rsid w:val="008B300D"/>
    <w:rsid w:val="008B422B"/>
    <w:rsid w:val="008B4702"/>
    <w:rsid w:val="008B67EA"/>
    <w:rsid w:val="008B79E5"/>
    <w:rsid w:val="008B79F1"/>
    <w:rsid w:val="008C0004"/>
    <w:rsid w:val="008C0503"/>
    <w:rsid w:val="008C1066"/>
    <w:rsid w:val="008C1CA0"/>
    <w:rsid w:val="008C2498"/>
    <w:rsid w:val="008C2B79"/>
    <w:rsid w:val="008C2BBE"/>
    <w:rsid w:val="008C34F1"/>
    <w:rsid w:val="008C3DDC"/>
    <w:rsid w:val="008C668A"/>
    <w:rsid w:val="008C6906"/>
    <w:rsid w:val="008C734A"/>
    <w:rsid w:val="008C7384"/>
    <w:rsid w:val="008C7912"/>
    <w:rsid w:val="008C7C31"/>
    <w:rsid w:val="008D090E"/>
    <w:rsid w:val="008D0F22"/>
    <w:rsid w:val="008D10FD"/>
    <w:rsid w:val="008D114A"/>
    <w:rsid w:val="008D122F"/>
    <w:rsid w:val="008D13F9"/>
    <w:rsid w:val="008D15DF"/>
    <w:rsid w:val="008D1969"/>
    <w:rsid w:val="008D1FCC"/>
    <w:rsid w:val="008D20BD"/>
    <w:rsid w:val="008D2416"/>
    <w:rsid w:val="008D261A"/>
    <w:rsid w:val="008D266F"/>
    <w:rsid w:val="008D2B88"/>
    <w:rsid w:val="008D3CE3"/>
    <w:rsid w:val="008D505E"/>
    <w:rsid w:val="008D60F4"/>
    <w:rsid w:val="008D6FC0"/>
    <w:rsid w:val="008D7046"/>
    <w:rsid w:val="008D77D1"/>
    <w:rsid w:val="008D7F36"/>
    <w:rsid w:val="008E28F0"/>
    <w:rsid w:val="008E5F29"/>
    <w:rsid w:val="008E5FBB"/>
    <w:rsid w:val="008E62DE"/>
    <w:rsid w:val="008E64D7"/>
    <w:rsid w:val="008E7371"/>
    <w:rsid w:val="008F0541"/>
    <w:rsid w:val="008F0BD8"/>
    <w:rsid w:val="008F33CC"/>
    <w:rsid w:val="008F4202"/>
    <w:rsid w:val="008F5DC4"/>
    <w:rsid w:val="008F763D"/>
    <w:rsid w:val="0090066F"/>
    <w:rsid w:val="00900886"/>
    <w:rsid w:val="009009A9"/>
    <w:rsid w:val="00900A66"/>
    <w:rsid w:val="00900C9A"/>
    <w:rsid w:val="00900D7E"/>
    <w:rsid w:val="00901531"/>
    <w:rsid w:val="0090206F"/>
    <w:rsid w:val="0090217A"/>
    <w:rsid w:val="009029E8"/>
    <w:rsid w:val="00904F17"/>
    <w:rsid w:val="0090603D"/>
    <w:rsid w:val="009060F5"/>
    <w:rsid w:val="009064F6"/>
    <w:rsid w:val="0091080E"/>
    <w:rsid w:val="00911FDF"/>
    <w:rsid w:val="00914F0B"/>
    <w:rsid w:val="00916458"/>
    <w:rsid w:val="00916A04"/>
    <w:rsid w:val="00921658"/>
    <w:rsid w:val="00921A35"/>
    <w:rsid w:val="009220E8"/>
    <w:rsid w:val="00922491"/>
    <w:rsid w:val="0092376C"/>
    <w:rsid w:val="00923F51"/>
    <w:rsid w:val="009268CB"/>
    <w:rsid w:val="0093117A"/>
    <w:rsid w:val="009320CF"/>
    <w:rsid w:val="00932147"/>
    <w:rsid w:val="00932F7B"/>
    <w:rsid w:val="009332EA"/>
    <w:rsid w:val="00933330"/>
    <w:rsid w:val="00934848"/>
    <w:rsid w:val="00934990"/>
    <w:rsid w:val="00935DAD"/>
    <w:rsid w:val="00936286"/>
    <w:rsid w:val="00937589"/>
    <w:rsid w:val="009414A9"/>
    <w:rsid w:val="00942DFE"/>
    <w:rsid w:val="00943A8A"/>
    <w:rsid w:val="0094453D"/>
    <w:rsid w:val="00950FCC"/>
    <w:rsid w:val="00951B53"/>
    <w:rsid w:val="0095236C"/>
    <w:rsid w:val="009525FB"/>
    <w:rsid w:val="00953072"/>
    <w:rsid w:val="00953832"/>
    <w:rsid w:val="0095469F"/>
    <w:rsid w:val="009551B4"/>
    <w:rsid w:val="00956032"/>
    <w:rsid w:val="00956915"/>
    <w:rsid w:val="00957514"/>
    <w:rsid w:val="009577B2"/>
    <w:rsid w:val="00960D8D"/>
    <w:rsid w:val="00960F8F"/>
    <w:rsid w:val="00961672"/>
    <w:rsid w:val="00961843"/>
    <w:rsid w:val="00963A94"/>
    <w:rsid w:val="00963C91"/>
    <w:rsid w:val="009648B4"/>
    <w:rsid w:val="00964901"/>
    <w:rsid w:val="00964BDD"/>
    <w:rsid w:val="00965103"/>
    <w:rsid w:val="009657DF"/>
    <w:rsid w:val="009664CD"/>
    <w:rsid w:val="00966BDC"/>
    <w:rsid w:val="00966D53"/>
    <w:rsid w:val="009706D0"/>
    <w:rsid w:val="00971DF7"/>
    <w:rsid w:val="00971E04"/>
    <w:rsid w:val="0097288F"/>
    <w:rsid w:val="00972F0A"/>
    <w:rsid w:val="009732E6"/>
    <w:rsid w:val="00973FFD"/>
    <w:rsid w:val="00974010"/>
    <w:rsid w:val="009745AE"/>
    <w:rsid w:val="009754E8"/>
    <w:rsid w:val="0097569C"/>
    <w:rsid w:val="00976186"/>
    <w:rsid w:val="00977713"/>
    <w:rsid w:val="00977867"/>
    <w:rsid w:val="0098077A"/>
    <w:rsid w:val="00980B6F"/>
    <w:rsid w:val="00980F99"/>
    <w:rsid w:val="009837D0"/>
    <w:rsid w:val="0098441F"/>
    <w:rsid w:val="00984B02"/>
    <w:rsid w:val="00986340"/>
    <w:rsid w:val="009872ED"/>
    <w:rsid w:val="00987BB3"/>
    <w:rsid w:val="00990104"/>
    <w:rsid w:val="009907E9"/>
    <w:rsid w:val="009913CD"/>
    <w:rsid w:val="00992007"/>
    <w:rsid w:val="00992B3A"/>
    <w:rsid w:val="009932A1"/>
    <w:rsid w:val="009943E9"/>
    <w:rsid w:val="00994497"/>
    <w:rsid w:val="00994710"/>
    <w:rsid w:val="00994CD4"/>
    <w:rsid w:val="009953C3"/>
    <w:rsid w:val="009958FF"/>
    <w:rsid w:val="009959AA"/>
    <w:rsid w:val="00995A8D"/>
    <w:rsid w:val="00996F68"/>
    <w:rsid w:val="00997636"/>
    <w:rsid w:val="00997D61"/>
    <w:rsid w:val="009A196C"/>
    <w:rsid w:val="009A1DEF"/>
    <w:rsid w:val="009A2C92"/>
    <w:rsid w:val="009A3460"/>
    <w:rsid w:val="009A49DD"/>
    <w:rsid w:val="009A4DE6"/>
    <w:rsid w:val="009A4EC5"/>
    <w:rsid w:val="009A58F9"/>
    <w:rsid w:val="009A60A3"/>
    <w:rsid w:val="009A62CD"/>
    <w:rsid w:val="009A639E"/>
    <w:rsid w:val="009A6B22"/>
    <w:rsid w:val="009A771D"/>
    <w:rsid w:val="009A7732"/>
    <w:rsid w:val="009A7A8F"/>
    <w:rsid w:val="009B04AA"/>
    <w:rsid w:val="009B0A42"/>
    <w:rsid w:val="009B11E2"/>
    <w:rsid w:val="009B2371"/>
    <w:rsid w:val="009B2A13"/>
    <w:rsid w:val="009B2AC9"/>
    <w:rsid w:val="009B2B2C"/>
    <w:rsid w:val="009B2D33"/>
    <w:rsid w:val="009B37F2"/>
    <w:rsid w:val="009B3B80"/>
    <w:rsid w:val="009B4126"/>
    <w:rsid w:val="009B4E4E"/>
    <w:rsid w:val="009B6DEF"/>
    <w:rsid w:val="009B7C1F"/>
    <w:rsid w:val="009C1919"/>
    <w:rsid w:val="009C3354"/>
    <w:rsid w:val="009C5D23"/>
    <w:rsid w:val="009C6D92"/>
    <w:rsid w:val="009C717F"/>
    <w:rsid w:val="009C7454"/>
    <w:rsid w:val="009C7D2C"/>
    <w:rsid w:val="009D0200"/>
    <w:rsid w:val="009D0667"/>
    <w:rsid w:val="009D1136"/>
    <w:rsid w:val="009D1F8F"/>
    <w:rsid w:val="009D221F"/>
    <w:rsid w:val="009D3B7E"/>
    <w:rsid w:val="009D3CC9"/>
    <w:rsid w:val="009D53E2"/>
    <w:rsid w:val="009D59A8"/>
    <w:rsid w:val="009D617A"/>
    <w:rsid w:val="009D6D44"/>
    <w:rsid w:val="009E00A2"/>
    <w:rsid w:val="009E2424"/>
    <w:rsid w:val="009E476B"/>
    <w:rsid w:val="009E49F5"/>
    <w:rsid w:val="009E5160"/>
    <w:rsid w:val="009E5D1D"/>
    <w:rsid w:val="009E7D8F"/>
    <w:rsid w:val="009F16C3"/>
    <w:rsid w:val="009F1C8A"/>
    <w:rsid w:val="009F2006"/>
    <w:rsid w:val="009F38BB"/>
    <w:rsid w:val="009F46E4"/>
    <w:rsid w:val="009F5312"/>
    <w:rsid w:val="009F5520"/>
    <w:rsid w:val="009F5D49"/>
    <w:rsid w:val="009F77FE"/>
    <w:rsid w:val="00A00084"/>
    <w:rsid w:val="00A01713"/>
    <w:rsid w:val="00A0189F"/>
    <w:rsid w:val="00A0251F"/>
    <w:rsid w:val="00A02B9D"/>
    <w:rsid w:val="00A02BB4"/>
    <w:rsid w:val="00A03C24"/>
    <w:rsid w:val="00A04A60"/>
    <w:rsid w:val="00A04F33"/>
    <w:rsid w:val="00A05754"/>
    <w:rsid w:val="00A069DB"/>
    <w:rsid w:val="00A06ADB"/>
    <w:rsid w:val="00A1028F"/>
    <w:rsid w:val="00A1035C"/>
    <w:rsid w:val="00A104FB"/>
    <w:rsid w:val="00A10B67"/>
    <w:rsid w:val="00A1176A"/>
    <w:rsid w:val="00A139EF"/>
    <w:rsid w:val="00A14611"/>
    <w:rsid w:val="00A148FC"/>
    <w:rsid w:val="00A14B89"/>
    <w:rsid w:val="00A15591"/>
    <w:rsid w:val="00A157EB"/>
    <w:rsid w:val="00A15D41"/>
    <w:rsid w:val="00A15FB7"/>
    <w:rsid w:val="00A168C3"/>
    <w:rsid w:val="00A17926"/>
    <w:rsid w:val="00A20284"/>
    <w:rsid w:val="00A20402"/>
    <w:rsid w:val="00A209E4"/>
    <w:rsid w:val="00A22A5B"/>
    <w:rsid w:val="00A22AA8"/>
    <w:rsid w:val="00A230FB"/>
    <w:rsid w:val="00A23E04"/>
    <w:rsid w:val="00A246A2"/>
    <w:rsid w:val="00A24F1C"/>
    <w:rsid w:val="00A24FA9"/>
    <w:rsid w:val="00A2520F"/>
    <w:rsid w:val="00A25951"/>
    <w:rsid w:val="00A2638D"/>
    <w:rsid w:val="00A26438"/>
    <w:rsid w:val="00A268FA"/>
    <w:rsid w:val="00A26FAD"/>
    <w:rsid w:val="00A273BF"/>
    <w:rsid w:val="00A27883"/>
    <w:rsid w:val="00A308C1"/>
    <w:rsid w:val="00A33ED1"/>
    <w:rsid w:val="00A34E6D"/>
    <w:rsid w:val="00A35C90"/>
    <w:rsid w:val="00A35CE5"/>
    <w:rsid w:val="00A367AF"/>
    <w:rsid w:val="00A400A8"/>
    <w:rsid w:val="00A40742"/>
    <w:rsid w:val="00A4092B"/>
    <w:rsid w:val="00A41C09"/>
    <w:rsid w:val="00A4208F"/>
    <w:rsid w:val="00A435ED"/>
    <w:rsid w:val="00A43FB9"/>
    <w:rsid w:val="00A453E4"/>
    <w:rsid w:val="00A46235"/>
    <w:rsid w:val="00A465AE"/>
    <w:rsid w:val="00A47EF0"/>
    <w:rsid w:val="00A50838"/>
    <w:rsid w:val="00A50DC0"/>
    <w:rsid w:val="00A51932"/>
    <w:rsid w:val="00A51C39"/>
    <w:rsid w:val="00A52CD6"/>
    <w:rsid w:val="00A5334A"/>
    <w:rsid w:val="00A541E5"/>
    <w:rsid w:val="00A55004"/>
    <w:rsid w:val="00A55EFA"/>
    <w:rsid w:val="00A55FDE"/>
    <w:rsid w:val="00A56432"/>
    <w:rsid w:val="00A57542"/>
    <w:rsid w:val="00A577D8"/>
    <w:rsid w:val="00A62BE5"/>
    <w:rsid w:val="00A6358D"/>
    <w:rsid w:val="00A66953"/>
    <w:rsid w:val="00A66E3E"/>
    <w:rsid w:val="00A67DE4"/>
    <w:rsid w:val="00A708BE"/>
    <w:rsid w:val="00A70D83"/>
    <w:rsid w:val="00A70FD9"/>
    <w:rsid w:val="00A71B5B"/>
    <w:rsid w:val="00A72446"/>
    <w:rsid w:val="00A727C4"/>
    <w:rsid w:val="00A72F06"/>
    <w:rsid w:val="00A74792"/>
    <w:rsid w:val="00A75E73"/>
    <w:rsid w:val="00A77262"/>
    <w:rsid w:val="00A773B8"/>
    <w:rsid w:val="00A7787D"/>
    <w:rsid w:val="00A778BE"/>
    <w:rsid w:val="00A77F9C"/>
    <w:rsid w:val="00A77FFD"/>
    <w:rsid w:val="00A80FAE"/>
    <w:rsid w:val="00A814D1"/>
    <w:rsid w:val="00A82138"/>
    <w:rsid w:val="00A8348E"/>
    <w:rsid w:val="00A84373"/>
    <w:rsid w:val="00A85AE1"/>
    <w:rsid w:val="00A871B3"/>
    <w:rsid w:val="00A878D3"/>
    <w:rsid w:val="00A90A17"/>
    <w:rsid w:val="00A91FB5"/>
    <w:rsid w:val="00A91FBF"/>
    <w:rsid w:val="00A92DC4"/>
    <w:rsid w:val="00A95322"/>
    <w:rsid w:val="00A96C7E"/>
    <w:rsid w:val="00A96FF2"/>
    <w:rsid w:val="00A973AC"/>
    <w:rsid w:val="00A9770A"/>
    <w:rsid w:val="00AA0F10"/>
    <w:rsid w:val="00AA1CFD"/>
    <w:rsid w:val="00AA1D97"/>
    <w:rsid w:val="00AA2BAD"/>
    <w:rsid w:val="00AA39F5"/>
    <w:rsid w:val="00AA3A64"/>
    <w:rsid w:val="00AA3B66"/>
    <w:rsid w:val="00AA3C33"/>
    <w:rsid w:val="00AA4038"/>
    <w:rsid w:val="00AA449F"/>
    <w:rsid w:val="00AA5088"/>
    <w:rsid w:val="00AA5658"/>
    <w:rsid w:val="00AA5D01"/>
    <w:rsid w:val="00AA6A53"/>
    <w:rsid w:val="00AA71B4"/>
    <w:rsid w:val="00AA726B"/>
    <w:rsid w:val="00AA7469"/>
    <w:rsid w:val="00AA7E94"/>
    <w:rsid w:val="00AB0E5F"/>
    <w:rsid w:val="00AB1484"/>
    <w:rsid w:val="00AB1691"/>
    <w:rsid w:val="00AB1B46"/>
    <w:rsid w:val="00AB1C0F"/>
    <w:rsid w:val="00AB2139"/>
    <w:rsid w:val="00AB28F1"/>
    <w:rsid w:val="00AB2DFA"/>
    <w:rsid w:val="00AB4A0A"/>
    <w:rsid w:val="00AB4E54"/>
    <w:rsid w:val="00AB5264"/>
    <w:rsid w:val="00AB5BFD"/>
    <w:rsid w:val="00AB620E"/>
    <w:rsid w:val="00AC15D1"/>
    <w:rsid w:val="00AC1B90"/>
    <w:rsid w:val="00AC263F"/>
    <w:rsid w:val="00AC3081"/>
    <w:rsid w:val="00AC47B6"/>
    <w:rsid w:val="00AC50E5"/>
    <w:rsid w:val="00AC5574"/>
    <w:rsid w:val="00AC5B2B"/>
    <w:rsid w:val="00AC5C41"/>
    <w:rsid w:val="00AC620C"/>
    <w:rsid w:val="00AC6EB3"/>
    <w:rsid w:val="00AD06A5"/>
    <w:rsid w:val="00AD0B36"/>
    <w:rsid w:val="00AD0E52"/>
    <w:rsid w:val="00AD0EDE"/>
    <w:rsid w:val="00AD12CC"/>
    <w:rsid w:val="00AD167F"/>
    <w:rsid w:val="00AD32EF"/>
    <w:rsid w:val="00AD3379"/>
    <w:rsid w:val="00AD4D73"/>
    <w:rsid w:val="00AD750F"/>
    <w:rsid w:val="00AE0100"/>
    <w:rsid w:val="00AE0465"/>
    <w:rsid w:val="00AE0FC7"/>
    <w:rsid w:val="00AE1515"/>
    <w:rsid w:val="00AE16F0"/>
    <w:rsid w:val="00AE204B"/>
    <w:rsid w:val="00AE2566"/>
    <w:rsid w:val="00AE2E01"/>
    <w:rsid w:val="00AE39B0"/>
    <w:rsid w:val="00AE7D40"/>
    <w:rsid w:val="00AF0CC8"/>
    <w:rsid w:val="00AF0EEE"/>
    <w:rsid w:val="00AF14EF"/>
    <w:rsid w:val="00AF161B"/>
    <w:rsid w:val="00AF2837"/>
    <w:rsid w:val="00AF3328"/>
    <w:rsid w:val="00AF3C47"/>
    <w:rsid w:val="00AF4578"/>
    <w:rsid w:val="00AF5651"/>
    <w:rsid w:val="00AF59AC"/>
    <w:rsid w:val="00AF773C"/>
    <w:rsid w:val="00B0272B"/>
    <w:rsid w:val="00B02F1A"/>
    <w:rsid w:val="00B03592"/>
    <w:rsid w:val="00B042E0"/>
    <w:rsid w:val="00B05061"/>
    <w:rsid w:val="00B05334"/>
    <w:rsid w:val="00B05EA5"/>
    <w:rsid w:val="00B07B78"/>
    <w:rsid w:val="00B110B6"/>
    <w:rsid w:val="00B11D0D"/>
    <w:rsid w:val="00B1246C"/>
    <w:rsid w:val="00B12A6F"/>
    <w:rsid w:val="00B12B3B"/>
    <w:rsid w:val="00B12E96"/>
    <w:rsid w:val="00B12F34"/>
    <w:rsid w:val="00B1321D"/>
    <w:rsid w:val="00B136E4"/>
    <w:rsid w:val="00B149E1"/>
    <w:rsid w:val="00B14A7C"/>
    <w:rsid w:val="00B15B6C"/>
    <w:rsid w:val="00B17056"/>
    <w:rsid w:val="00B21D17"/>
    <w:rsid w:val="00B23592"/>
    <w:rsid w:val="00B24F71"/>
    <w:rsid w:val="00B25621"/>
    <w:rsid w:val="00B26301"/>
    <w:rsid w:val="00B265E4"/>
    <w:rsid w:val="00B26872"/>
    <w:rsid w:val="00B27D4C"/>
    <w:rsid w:val="00B300DF"/>
    <w:rsid w:val="00B309F8"/>
    <w:rsid w:val="00B31892"/>
    <w:rsid w:val="00B319BB"/>
    <w:rsid w:val="00B31CB1"/>
    <w:rsid w:val="00B32724"/>
    <w:rsid w:val="00B32DFA"/>
    <w:rsid w:val="00B332B2"/>
    <w:rsid w:val="00B3602F"/>
    <w:rsid w:val="00B36DB2"/>
    <w:rsid w:val="00B3703F"/>
    <w:rsid w:val="00B3753D"/>
    <w:rsid w:val="00B406DD"/>
    <w:rsid w:val="00B40ABC"/>
    <w:rsid w:val="00B40ADA"/>
    <w:rsid w:val="00B40E46"/>
    <w:rsid w:val="00B411A1"/>
    <w:rsid w:val="00B4121D"/>
    <w:rsid w:val="00B412C7"/>
    <w:rsid w:val="00B41831"/>
    <w:rsid w:val="00B41A80"/>
    <w:rsid w:val="00B42499"/>
    <w:rsid w:val="00B44201"/>
    <w:rsid w:val="00B45718"/>
    <w:rsid w:val="00B467ED"/>
    <w:rsid w:val="00B46A5A"/>
    <w:rsid w:val="00B510F3"/>
    <w:rsid w:val="00B514E7"/>
    <w:rsid w:val="00B51A64"/>
    <w:rsid w:val="00B54506"/>
    <w:rsid w:val="00B5461C"/>
    <w:rsid w:val="00B55A5A"/>
    <w:rsid w:val="00B56382"/>
    <w:rsid w:val="00B572CB"/>
    <w:rsid w:val="00B5752E"/>
    <w:rsid w:val="00B57819"/>
    <w:rsid w:val="00B61437"/>
    <w:rsid w:val="00B616A5"/>
    <w:rsid w:val="00B62349"/>
    <w:rsid w:val="00B6259E"/>
    <w:rsid w:val="00B63324"/>
    <w:rsid w:val="00B64797"/>
    <w:rsid w:val="00B64AC6"/>
    <w:rsid w:val="00B64D51"/>
    <w:rsid w:val="00B66974"/>
    <w:rsid w:val="00B6701E"/>
    <w:rsid w:val="00B67B26"/>
    <w:rsid w:val="00B71D66"/>
    <w:rsid w:val="00B72194"/>
    <w:rsid w:val="00B72561"/>
    <w:rsid w:val="00B75838"/>
    <w:rsid w:val="00B75886"/>
    <w:rsid w:val="00B7595E"/>
    <w:rsid w:val="00B76609"/>
    <w:rsid w:val="00B77FBC"/>
    <w:rsid w:val="00B8014A"/>
    <w:rsid w:val="00B80324"/>
    <w:rsid w:val="00B804CD"/>
    <w:rsid w:val="00B80617"/>
    <w:rsid w:val="00B82976"/>
    <w:rsid w:val="00B82BC7"/>
    <w:rsid w:val="00B83171"/>
    <w:rsid w:val="00B83868"/>
    <w:rsid w:val="00B83C45"/>
    <w:rsid w:val="00B83CAA"/>
    <w:rsid w:val="00B83F7B"/>
    <w:rsid w:val="00B840C8"/>
    <w:rsid w:val="00B84C07"/>
    <w:rsid w:val="00B84F18"/>
    <w:rsid w:val="00B852D4"/>
    <w:rsid w:val="00B854BD"/>
    <w:rsid w:val="00B85728"/>
    <w:rsid w:val="00B8765E"/>
    <w:rsid w:val="00B87A2E"/>
    <w:rsid w:val="00B87CAA"/>
    <w:rsid w:val="00B87DD3"/>
    <w:rsid w:val="00B901D4"/>
    <w:rsid w:val="00B90F70"/>
    <w:rsid w:val="00B91B9B"/>
    <w:rsid w:val="00B930E3"/>
    <w:rsid w:val="00B9343F"/>
    <w:rsid w:val="00B935E5"/>
    <w:rsid w:val="00B94162"/>
    <w:rsid w:val="00B948C9"/>
    <w:rsid w:val="00B94F17"/>
    <w:rsid w:val="00B96EC3"/>
    <w:rsid w:val="00B96EF7"/>
    <w:rsid w:val="00B97350"/>
    <w:rsid w:val="00B97623"/>
    <w:rsid w:val="00B97C0F"/>
    <w:rsid w:val="00BA01C7"/>
    <w:rsid w:val="00BA0E2B"/>
    <w:rsid w:val="00BA1611"/>
    <w:rsid w:val="00BA18A2"/>
    <w:rsid w:val="00BA1B16"/>
    <w:rsid w:val="00BA37CB"/>
    <w:rsid w:val="00BA4C0F"/>
    <w:rsid w:val="00BA4D60"/>
    <w:rsid w:val="00BA6070"/>
    <w:rsid w:val="00BA6950"/>
    <w:rsid w:val="00BA6CC7"/>
    <w:rsid w:val="00BA6DA2"/>
    <w:rsid w:val="00BB1235"/>
    <w:rsid w:val="00BB1451"/>
    <w:rsid w:val="00BB1461"/>
    <w:rsid w:val="00BB1D04"/>
    <w:rsid w:val="00BB1EA1"/>
    <w:rsid w:val="00BB2B28"/>
    <w:rsid w:val="00BB3D11"/>
    <w:rsid w:val="00BB44AB"/>
    <w:rsid w:val="00BB6642"/>
    <w:rsid w:val="00BB7B13"/>
    <w:rsid w:val="00BC0234"/>
    <w:rsid w:val="00BC1A4B"/>
    <w:rsid w:val="00BC2104"/>
    <w:rsid w:val="00BC21FC"/>
    <w:rsid w:val="00BC4254"/>
    <w:rsid w:val="00BC4404"/>
    <w:rsid w:val="00BC44B2"/>
    <w:rsid w:val="00BC486A"/>
    <w:rsid w:val="00BC4EE4"/>
    <w:rsid w:val="00BC6419"/>
    <w:rsid w:val="00BC6709"/>
    <w:rsid w:val="00BC7009"/>
    <w:rsid w:val="00BC776F"/>
    <w:rsid w:val="00BD0769"/>
    <w:rsid w:val="00BD1223"/>
    <w:rsid w:val="00BD296B"/>
    <w:rsid w:val="00BD3C99"/>
    <w:rsid w:val="00BD3E8E"/>
    <w:rsid w:val="00BD40F1"/>
    <w:rsid w:val="00BD441B"/>
    <w:rsid w:val="00BD562A"/>
    <w:rsid w:val="00BD5878"/>
    <w:rsid w:val="00BD5CE8"/>
    <w:rsid w:val="00BD69E7"/>
    <w:rsid w:val="00BD70F5"/>
    <w:rsid w:val="00BE1F47"/>
    <w:rsid w:val="00BE2D11"/>
    <w:rsid w:val="00BE2F92"/>
    <w:rsid w:val="00BE3157"/>
    <w:rsid w:val="00BE497A"/>
    <w:rsid w:val="00BE5FC9"/>
    <w:rsid w:val="00BE66D1"/>
    <w:rsid w:val="00BE6C11"/>
    <w:rsid w:val="00BE6F23"/>
    <w:rsid w:val="00BE708E"/>
    <w:rsid w:val="00BF052C"/>
    <w:rsid w:val="00BF0770"/>
    <w:rsid w:val="00BF0896"/>
    <w:rsid w:val="00BF541A"/>
    <w:rsid w:val="00BF768D"/>
    <w:rsid w:val="00BF7819"/>
    <w:rsid w:val="00C011B0"/>
    <w:rsid w:val="00C0176C"/>
    <w:rsid w:val="00C02AAF"/>
    <w:rsid w:val="00C04917"/>
    <w:rsid w:val="00C04E83"/>
    <w:rsid w:val="00C04FFC"/>
    <w:rsid w:val="00C05E49"/>
    <w:rsid w:val="00C072CE"/>
    <w:rsid w:val="00C07413"/>
    <w:rsid w:val="00C1069B"/>
    <w:rsid w:val="00C10A4E"/>
    <w:rsid w:val="00C10A61"/>
    <w:rsid w:val="00C10FB0"/>
    <w:rsid w:val="00C1125B"/>
    <w:rsid w:val="00C11A23"/>
    <w:rsid w:val="00C11CC1"/>
    <w:rsid w:val="00C1270A"/>
    <w:rsid w:val="00C1401F"/>
    <w:rsid w:val="00C1431B"/>
    <w:rsid w:val="00C14339"/>
    <w:rsid w:val="00C15445"/>
    <w:rsid w:val="00C1626C"/>
    <w:rsid w:val="00C16288"/>
    <w:rsid w:val="00C1678F"/>
    <w:rsid w:val="00C176D5"/>
    <w:rsid w:val="00C17C8B"/>
    <w:rsid w:val="00C20AA7"/>
    <w:rsid w:val="00C20ADB"/>
    <w:rsid w:val="00C20C6F"/>
    <w:rsid w:val="00C21224"/>
    <w:rsid w:val="00C21864"/>
    <w:rsid w:val="00C21D33"/>
    <w:rsid w:val="00C22D27"/>
    <w:rsid w:val="00C243F2"/>
    <w:rsid w:val="00C25E9C"/>
    <w:rsid w:val="00C261F6"/>
    <w:rsid w:val="00C266D3"/>
    <w:rsid w:val="00C267D8"/>
    <w:rsid w:val="00C26F4B"/>
    <w:rsid w:val="00C272E4"/>
    <w:rsid w:val="00C2789C"/>
    <w:rsid w:val="00C27C15"/>
    <w:rsid w:val="00C303A2"/>
    <w:rsid w:val="00C30863"/>
    <w:rsid w:val="00C31936"/>
    <w:rsid w:val="00C327EB"/>
    <w:rsid w:val="00C32B84"/>
    <w:rsid w:val="00C33093"/>
    <w:rsid w:val="00C3367E"/>
    <w:rsid w:val="00C34312"/>
    <w:rsid w:val="00C34D83"/>
    <w:rsid w:val="00C35614"/>
    <w:rsid w:val="00C35D36"/>
    <w:rsid w:val="00C367E7"/>
    <w:rsid w:val="00C36B82"/>
    <w:rsid w:val="00C36DC6"/>
    <w:rsid w:val="00C36ED6"/>
    <w:rsid w:val="00C379CC"/>
    <w:rsid w:val="00C37FA8"/>
    <w:rsid w:val="00C4080E"/>
    <w:rsid w:val="00C40A0A"/>
    <w:rsid w:val="00C41293"/>
    <w:rsid w:val="00C4134D"/>
    <w:rsid w:val="00C41418"/>
    <w:rsid w:val="00C41CA9"/>
    <w:rsid w:val="00C42031"/>
    <w:rsid w:val="00C422E3"/>
    <w:rsid w:val="00C424EA"/>
    <w:rsid w:val="00C43060"/>
    <w:rsid w:val="00C4377C"/>
    <w:rsid w:val="00C437A7"/>
    <w:rsid w:val="00C44009"/>
    <w:rsid w:val="00C4459F"/>
    <w:rsid w:val="00C451DE"/>
    <w:rsid w:val="00C456CE"/>
    <w:rsid w:val="00C47DAE"/>
    <w:rsid w:val="00C5261F"/>
    <w:rsid w:val="00C52B88"/>
    <w:rsid w:val="00C52FF0"/>
    <w:rsid w:val="00C530E8"/>
    <w:rsid w:val="00C53ACB"/>
    <w:rsid w:val="00C54705"/>
    <w:rsid w:val="00C56A5A"/>
    <w:rsid w:val="00C60816"/>
    <w:rsid w:val="00C60C4E"/>
    <w:rsid w:val="00C61878"/>
    <w:rsid w:val="00C61F91"/>
    <w:rsid w:val="00C62972"/>
    <w:rsid w:val="00C629B1"/>
    <w:rsid w:val="00C62C29"/>
    <w:rsid w:val="00C635AF"/>
    <w:rsid w:val="00C65DEC"/>
    <w:rsid w:val="00C66689"/>
    <w:rsid w:val="00C6742E"/>
    <w:rsid w:val="00C70056"/>
    <w:rsid w:val="00C70FF1"/>
    <w:rsid w:val="00C711C5"/>
    <w:rsid w:val="00C71359"/>
    <w:rsid w:val="00C71477"/>
    <w:rsid w:val="00C71DB2"/>
    <w:rsid w:val="00C73B52"/>
    <w:rsid w:val="00C741FF"/>
    <w:rsid w:val="00C748C5"/>
    <w:rsid w:val="00C760B9"/>
    <w:rsid w:val="00C763A3"/>
    <w:rsid w:val="00C80F5E"/>
    <w:rsid w:val="00C81B85"/>
    <w:rsid w:val="00C81D33"/>
    <w:rsid w:val="00C82259"/>
    <w:rsid w:val="00C831BC"/>
    <w:rsid w:val="00C84126"/>
    <w:rsid w:val="00C8418C"/>
    <w:rsid w:val="00C84784"/>
    <w:rsid w:val="00C84AC3"/>
    <w:rsid w:val="00C84D6D"/>
    <w:rsid w:val="00C84DF9"/>
    <w:rsid w:val="00C85C34"/>
    <w:rsid w:val="00C86D67"/>
    <w:rsid w:val="00C8778A"/>
    <w:rsid w:val="00C90509"/>
    <w:rsid w:val="00C90ECC"/>
    <w:rsid w:val="00C91182"/>
    <w:rsid w:val="00C93D10"/>
    <w:rsid w:val="00C943D9"/>
    <w:rsid w:val="00C94A61"/>
    <w:rsid w:val="00C95950"/>
    <w:rsid w:val="00C961D2"/>
    <w:rsid w:val="00C96837"/>
    <w:rsid w:val="00C9740E"/>
    <w:rsid w:val="00C979CA"/>
    <w:rsid w:val="00C97FD8"/>
    <w:rsid w:val="00CA0610"/>
    <w:rsid w:val="00CA0B2C"/>
    <w:rsid w:val="00CA2DA7"/>
    <w:rsid w:val="00CA32F6"/>
    <w:rsid w:val="00CA36D8"/>
    <w:rsid w:val="00CA37ED"/>
    <w:rsid w:val="00CA3FA7"/>
    <w:rsid w:val="00CA5D0E"/>
    <w:rsid w:val="00CA776D"/>
    <w:rsid w:val="00CA7D09"/>
    <w:rsid w:val="00CB0542"/>
    <w:rsid w:val="00CB08D3"/>
    <w:rsid w:val="00CB12DD"/>
    <w:rsid w:val="00CB1370"/>
    <w:rsid w:val="00CB13FC"/>
    <w:rsid w:val="00CB1686"/>
    <w:rsid w:val="00CB18C6"/>
    <w:rsid w:val="00CB2974"/>
    <w:rsid w:val="00CB29C2"/>
    <w:rsid w:val="00CB2D9B"/>
    <w:rsid w:val="00CB2E12"/>
    <w:rsid w:val="00CB4759"/>
    <w:rsid w:val="00CB4DE1"/>
    <w:rsid w:val="00CB549D"/>
    <w:rsid w:val="00CB57C6"/>
    <w:rsid w:val="00CB5ED2"/>
    <w:rsid w:val="00CB6B0F"/>
    <w:rsid w:val="00CB7FEA"/>
    <w:rsid w:val="00CC06CE"/>
    <w:rsid w:val="00CC0BDC"/>
    <w:rsid w:val="00CC12B5"/>
    <w:rsid w:val="00CC2996"/>
    <w:rsid w:val="00CC301F"/>
    <w:rsid w:val="00CC3712"/>
    <w:rsid w:val="00CC668E"/>
    <w:rsid w:val="00CC6CFE"/>
    <w:rsid w:val="00CD05DC"/>
    <w:rsid w:val="00CD0DAF"/>
    <w:rsid w:val="00CD108E"/>
    <w:rsid w:val="00CD1EA4"/>
    <w:rsid w:val="00CD1F01"/>
    <w:rsid w:val="00CD351D"/>
    <w:rsid w:val="00CD40C2"/>
    <w:rsid w:val="00CD498B"/>
    <w:rsid w:val="00CD49CA"/>
    <w:rsid w:val="00CD65B2"/>
    <w:rsid w:val="00CD7381"/>
    <w:rsid w:val="00CD7D69"/>
    <w:rsid w:val="00CD7FB1"/>
    <w:rsid w:val="00CE0B52"/>
    <w:rsid w:val="00CE18A7"/>
    <w:rsid w:val="00CE1E03"/>
    <w:rsid w:val="00CE1F46"/>
    <w:rsid w:val="00CE2221"/>
    <w:rsid w:val="00CE254F"/>
    <w:rsid w:val="00CE2618"/>
    <w:rsid w:val="00CE37D3"/>
    <w:rsid w:val="00CE3B9F"/>
    <w:rsid w:val="00CE4236"/>
    <w:rsid w:val="00CE4C7F"/>
    <w:rsid w:val="00CE50D8"/>
    <w:rsid w:val="00CE63D6"/>
    <w:rsid w:val="00CE63D8"/>
    <w:rsid w:val="00CE70A6"/>
    <w:rsid w:val="00CE76D1"/>
    <w:rsid w:val="00CF0A4F"/>
    <w:rsid w:val="00CF39F5"/>
    <w:rsid w:val="00CF43DB"/>
    <w:rsid w:val="00CF46D3"/>
    <w:rsid w:val="00CF5740"/>
    <w:rsid w:val="00CF6FE1"/>
    <w:rsid w:val="00CF7CC8"/>
    <w:rsid w:val="00D0057B"/>
    <w:rsid w:val="00D015BB"/>
    <w:rsid w:val="00D02845"/>
    <w:rsid w:val="00D03B8F"/>
    <w:rsid w:val="00D03E84"/>
    <w:rsid w:val="00D04581"/>
    <w:rsid w:val="00D04DAC"/>
    <w:rsid w:val="00D05195"/>
    <w:rsid w:val="00D05BC1"/>
    <w:rsid w:val="00D071B4"/>
    <w:rsid w:val="00D11F25"/>
    <w:rsid w:val="00D121AB"/>
    <w:rsid w:val="00D129F5"/>
    <w:rsid w:val="00D13D95"/>
    <w:rsid w:val="00D1409C"/>
    <w:rsid w:val="00D1509A"/>
    <w:rsid w:val="00D15439"/>
    <w:rsid w:val="00D17BF6"/>
    <w:rsid w:val="00D20166"/>
    <w:rsid w:val="00D224DC"/>
    <w:rsid w:val="00D22D7F"/>
    <w:rsid w:val="00D23BDC"/>
    <w:rsid w:val="00D23F1E"/>
    <w:rsid w:val="00D2415B"/>
    <w:rsid w:val="00D24C3D"/>
    <w:rsid w:val="00D253B3"/>
    <w:rsid w:val="00D25A9B"/>
    <w:rsid w:val="00D25F15"/>
    <w:rsid w:val="00D26357"/>
    <w:rsid w:val="00D27113"/>
    <w:rsid w:val="00D275E7"/>
    <w:rsid w:val="00D27A52"/>
    <w:rsid w:val="00D30448"/>
    <w:rsid w:val="00D30739"/>
    <w:rsid w:val="00D32901"/>
    <w:rsid w:val="00D32A62"/>
    <w:rsid w:val="00D33A3D"/>
    <w:rsid w:val="00D34344"/>
    <w:rsid w:val="00D3465D"/>
    <w:rsid w:val="00D34A30"/>
    <w:rsid w:val="00D34DCC"/>
    <w:rsid w:val="00D35107"/>
    <w:rsid w:val="00D35C7C"/>
    <w:rsid w:val="00D36700"/>
    <w:rsid w:val="00D37BDD"/>
    <w:rsid w:val="00D41E15"/>
    <w:rsid w:val="00D42727"/>
    <w:rsid w:val="00D432BE"/>
    <w:rsid w:val="00D435A3"/>
    <w:rsid w:val="00D44F9C"/>
    <w:rsid w:val="00D4621F"/>
    <w:rsid w:val="00D46AF1"/>
    <w:rsid w:val="00D46B57"/>
    <w:rsid w:val="00D46CC0"/>
    <w:rsid w:val="00D46E46"/>
    <w:rsid w:val="00D476AD"/>
    <w:rsid w:val="00D512B0"/>
    <w:rsid w:val="00D52776"/>
    <w:rsid w:val="00D536FF"/>
    <w:rsid w:val="00D53D5F"/>
    <w:rsid w:val="00D540C9"/>
    <w:rsid w:val="00D5529A"/>
    <w:rsid w:val="00D5673D"/>
    <w:rsid w:val="00D57535"/>
    <w:rsid w:val="00D57CCD"/>
    <w:rsid w:val="00D60305"/>
    <w:rsid w:val="00D60932"/>
    <w:rsid w:val="00D63D92"/>
    <w:rsid w:val="00D63E7F"/>
    <w:rsid w:val="00D64157"/>
    <w:rsid w:val="00D644E5"/>
    <w:rsid w:val="00D64B3E"/>
    <w:rsid w:val="00D6559B"/>
    <w:rsid w:val="00D6563F"/>
    <w:rsid w:val="00D6698E"/>
    <w:rsid w:val="00D67AB6"/>
    <w:rsid w:val="00D70180"/>
    <w:rsid w:val="00D71027"/>
    <w:rsid w:val="00D71719"/>
    <w:rsid w:val="00D71B18"/>
    <w:rsid w:val="00D72F2F"/>
    <w:rsid w:val="00D72FF3"/>
    <w:rsid w:val="00D74AA7"/>
    <w:rsid w:val="00D74DCE"/>
    <w:rsid w:val="00D754EF"/>
    <w:rsid w:val="00D75F0F"/>
    <w:rsid w:val="00D80825"/>
    <w:rsid w:val="00D815A0"/>
    <w:rsid w:val="00D81D52"/>
    <w:rsid w:val="00D8337F"/>
    <w:rsid w:val="00D83B1D"/>
    <w:rsid w:val="00D83CDC"/>
    <w:rsid w:val="00D83F77"/>
    <w:rsid w:val="00D842D0"/>
    <w:rsid w:val="00D85A25"/>
    <w:rsid w:val="00D86562"/>
    <w:rsid w:val="00D87CB4"/>
    <w:rsid w:val="00D90562"/>
    <w:rsid w:val="00D91CBD"/>
    <w:rsid w:val="00D929AD"/>
    <w:rsid w:val="00D93278"/>
    <w:rsid w:val="00D941C8"/>
    <w:rsid w:val="00D94779"/>
    <w:rsid w:val="00D957CE"/>
    <w:rsid w:val="00D97000"/>
    <w:rsid w:val="00D9777A"/>
    <w:rsid w:val="00D97A41"/>
    <w:rsid w:val="00D97FE8"/>
    <w:rsid w:val="00DA24DF"/>
    <w:rsid w:val="00DA33F7"/>
    <w:rsid w:val="00DA40C2"/>
    <w:rsid w:val="00DA474B"/>
    <w:rsid w:val="00DA4B83"/>
    <w:rsid w:val="00DA6444"/>
    <w:rsid w:val="00DA6610"/>
    <w:rsid w:val="00DA6664"/>
    <w:rsid w:val="00DA6B12"/>
    <w:rsid w:val="00DA6E80"/>
    <w:rsid w:val="00DA70D9"/>
    <w:rsid w:val="00DB02F0"/>
    <w:rsid w:val="00DB1121"/>
    <w:rsid w:val="00DB191F"/>
    <w:rsid w:val="00DB1C68"/>
    <w:rsid w:val="00DB24FE"/>
    <w:rsid w:val="00DB27F6"/>
    <w:rsid w:val="00DB2D03"/>
    <w:rsid w:val="00DB3632"/>
    <w:rsid w:val="00DB4C29"/>
    <w:rsid w:val="00DB4F70"/>
    <w:rsid w:val="00DB56D3"/>
    <w:rsid w:val="00DB71BE"/>
    <w:rsid w:val="00DB7A1E"/>
    <w:rsid w:val="00DB7E0F"/>
    <w:rsid w:val="00DC0275"/>
    <w:rsid w:val="00DC1E60"/>
    <w:rsid w:val="00DC4420"/>
    <w:rsid w:val="00DC53D8"/>
    <w:rsid w:val="00DC626C"/>
    <w:rsid w:val="00DC74BE"/>
    <w:rsid w:val="00DC7672"/>
    <w:rsid w:val="00DD04B8"/>
    <w:rsid w:val="00DD106B"/>
    <w:rsid w:val="00DD14F8"/>
    <w:rsid w:val="00DD18AA"/>
    <w:rsid w:val="00DD1FAA"/>
    <w:rsid w:val="00DD5E8C"/>
    <w:rsid w:val="00DD5FEC"/>
    <w:rsid w:val="00DD60CC"/>
    <w:rsid w:val="00DD71CB"/>
    <w:rsid w:val="00DE1F71"/>
    <w:rsid w:val="00DE3DDE"/>
    <w:rsid w:val="00DE51D1"/>
    <w:rsid w:val="00DE570D"/>
    <w:rsid w:val="00DE64E3"/>
    <w:rsid w:val="00DE668D"/>
    <w:rsid w:val="00DE66B0"/>
    <w:rsid w:val="00DE6E07"/>
    <w:rsid w:val="00DE7C2D"/>
    <w:rsid w:val="00DF0EE9"/>
    <w:rsid w:val="00DF1E21"/>
    <w:rsid w:val="00DF2112"/>
    <w:rsid w:val="00DF2449"/>
    <w:rsid w:val="00DF338A"/>
    <w:rsid w:val="00DF438A"/>
    <w:rsid w:val="00DF53A7"/>
    <w:rsid w:val="00DF5ADF"/>
    <w:rsid w:val="00DF5FBB"/>
    <w:rsid w:val="00DF6521"/>
    <w:rsid w:val="00DF7FB8"/>
    <w:rsid w:val="00E003F7"/>
    <w:rsid w:val="00E006E9"/>
    <w:rsid w:val="00E0147A"/>
    <w:rsid w:val="00E04020"/>
    <w:rsid w:val="00E041A7"/>
    <w:rsid w:val="00E0435C"/>
    <w:rsid w:val="00E0502D"/>
    <w:rsid w:val="00E056BF"/>
    <w:rsid w:val="00E05BCC"/>
    <w:rsid w:val="00E07AA9"/>
    <w:rsid w:val="00E103BB"/>
    <w:rsid w:val="00E11F75"/>
    <w:rsid w:val="00E11FF6"/>
    <w:rsid w:val="00E1269C"/>
    <w:rsid w:val="00E14360"/>
    <w:rsid w:val="00E15151"/>
    <w:rsid w:val="00E15E66"/>
    <w:rsid w:val="00E2062D"/>
    <w:rsid w:val="00E2094C"/>
    <w:rsid w:val="00E2396C"/>
    <w:rsid w:val="00E23C17"/>
    <w:rsid w:val="00E24263"/>
    <w:rsid w:val="00E25267"/>
    <w:rsid w:val="00E25CB7"/>
    <w:rsid w:val="00E2721D"/>
    <w:rsid w:val="00E275C6"/>
    <w:rsid w:val="00E27B4B"/>
    <w:rsid w:val="00E316F1"/>
    <w:rsid w:val="00E3282D"/>
    <w:rsid w:val="00E33129"/>
    <w:rsid w:val="00E3342F"/>
    <w:rsid w:val="00E33B0E"/>
    <w:rsid w:val="00E34A3F"/>
    <w:rsid w:val="00E37198"/>
    <w:rsid w:val="00E37BE4"/>
    <w:rsid w:val="00E412E8"/>
    <w:rsid w:val="00E4145B"/>
    <w:rsid w:val="00E41D3B"/>
    <w:rsid w:val="00E41E7E"/>
    <w:rsid w:val="00E42768"/>
    <w:rsid w:val="00E4294B"/>
    <w:rsid w:val="00E43A01"/>
    <w:rsid w:val="00E43E79"/>
    <w:rsid w:val="00E44AFE"/>
    <w:rsid w:val="00E45571"/>
    <w:rsid w:val="00E46C31"/>
    <w:rsid w:val="00E47820"/>
    <w:rsid w:val="00E50246"/>
    <w:rsid w:val="00E503A5"/>
    <w:rsid w:val="00E507D8"/>
    <w:rsid w:val="00E50D9C"/>
    <w:rsid w:val="00E5285E"/>
    <w:rsid w:val="00E536A8"/>
    <w:rsid w:val="00E53CB5"/>
    <w:rsid w:val="00E53CCD"/>
    <w:rsid w:val="00E5457B"/>
    <w:rsid w:val="00E54830"/>
    <w:rsid w:val="00E55456"/>
    <w:rsid w:val="00E5575A"/>
    <w:rsid w:val="00E56345"/>
    <w:rsid w:val="00E56D67"/>
    <w:rsid w:val="00E56D90"/>
    <w:rsid w:val="00E57188"/>
    <w:rsid w:val="00E577F3"/>
    <w:rsid w:val="00E57FE7"/>
    <w:rsid w:val="00E61D96"/>
    <w:rsid w:val="00E61E30"/>
    <w:rsid w:val="00E6322D"/>
    <w:rsid w:val="00E64091"/>
    <w:rsid w:val="00E64816"/>
    <w:rsid w:val="00E65D6E"/>
    <w:rsid w:val="00E65DD5"/>
    <w:rsid w:val="00E665A7"/>
    <w:rsid w:val="00E66AFD"/>
    <w:rsid w:val="00E67448"/>
    <w:rsid w:val="00E67C53"/>
    <w:rsid w:val="00E67E51"/>
    <w:rsid w:val="00E67F57"/>
    <w:rsid w:val="00E67F91"/>
    <w:rsid w:val="00E67FF5"/>
    <w:rsid w:val="00E70324"/>
    <w:rsid w:val="00E70414"/>
    <w:rsid w:val="00E70666"/>
    <w:rsid w:val="00E70A9B"/>
    <w:rsid w:val="00E715F7"/>
    <w:rsid w:val="00E71D49"/>
    <w:rsid w:val="00E72DC5"/>
    <w:rsid w:val="00E7325A"/>
    <w:rsid w:val="00E738F2"/>
    <w:rsid w:val="00E746CF"/>
    <w:rsid w:val="00E75FAE"/>
    <w:rsid w:val="00E762E6"/>
    <w:rsid w:val="00E7632C"/>
    <w:rsid w:val="00E77684"/>
    <w:rsid w:val="00E77783"/>
    <w:rsid w:val="00E8024F"/>
    <w:rsid w:val="00E80BB8"/>
    <w:rsid w:val="00E81B9A"/>
    <w:rsid w:val="00E83742"/>
    <w:rsid w:val="00E838B9"/>
    <w:rsid w:val="00E85567"/>
    <w:rsid w:val="00E86195"/>
    <w:rsid w:val="00E86409"/>
    <w:rsid w:val="00E8777E"/>
    <w:rsid w:val="00E90F21"/>
    <w:rsid w:val="00E91925"/>
    <w:rsid w:val="00E91CF5"/>
    <w:rsid w:val="00E92470"/>
    <w:rsid w:val="00E92541"/>
    <w:rsid w:val="00E933DD"/>
    <w:rsid w:val="00E937EA"/>
    <w:rsid w:val="00E9416E"/>
    <w:rsid w:val="00E9466B"/>
    <w:rsid w:val="00E958D3"/>
    <w:rsid w:val="00E95A25"/>
    <w:rsid w:val="00E95E28"/>
    <w:rsid w:val="00E9670D"/>
    <w:rsid w:val="00E96834"/>
    <w:rsid w:val="00E969E6"/>
    <w:rsid w:val="00E96BE5"/>
    <w:rsid w:val="00E97A59"/>
    <w:rsid w:val="00E97C91"/>
    <w:rsid w:val="00EA02C4"/>
    <w:rsid w:val="00EA04A7"/>
    <w:rsid w:val="00EA108E"/>
    <w:rsid w:val="00EA1DE4"/>
    <w:rsid w:val="00EA27A9"/>
    <w:rsid w:val="00EA3313"/>
    <w:rsid w:val="00EA3566"/>
    <w:rsid w:val="00EA382B"/>
    <w:rsid w:val="00EA3A05"/>
    <w:rsid w:val="00EA3A24"/>
    <w:rsid w:val="00EA5138"/>
    <w:rsid w:val="00EA5944"/>
    <w:rsid w:val="00EA629E"/>
    <w:rsid w:val="00EA64CF"/>
    <w:rsid w:val="00EA73DA"/>
    <w:rsid w:val="00EA7981"/>
    <w:rsid w:val="00EA7B10"/>
    <w:rsid w:val="00EB22A4"/>
    <w:rsid w:val="00EB23BA"/>
    <w:rsid w:val="00EB37DE"/>
    <w:rsid w:val="00EB4E9C"/>
    <w:rsid w:val="00EB53F8"/>
    <w:rsid w:val="00EB683E"/>
    <w:rsid w:val="00EB6E74"/>
    <w:rsid w:val="00EC0D1B"/>
    <w:rsid w:val="00EC1AA1"/>
    <w:rsid w:val="00EC274C"/>
    <w:rsid w:val="00EC2E44"/>
    <w:rsid w:val="00EC2E79"/>
    <w:rsid w:val="00EC3F92"/>
    <w:rsid w:val="00EC499F"/>
    <w:rsid w:val="00EC49E9"/>
    <w:rsid w:val="00EC4D3E"/>
    <w:rsid w:val="00EC4DB6"/>
    <w:rsid w:val="00EC5239"/>
    <w:rsid w:val="00EC59FA"/>
    <w:rsid w:val="00EC766B"/>
    <w:rsid w:val="00EC7C73"/>
    <w:rsid w:val="00ED022E"/>
    <w:rsid w:val="00ED042F"/>
    <w:rsid w:val="00ED181D"/>
    <w:rsid w:val="00ED1B7C"/>
    <w:rsid w:val="00ED2755"/>
    <w:rsid w:val="00ED2A83"/>
    <w:rsid w:val="00ED3BEF"/>
    <w:rsid w:val="00ED4C81"/>
    <w:rsid w:val="00ED5863"/>
    <w:rsid w:val="00ED5EF3"/>
    <w:rsid w:val="00ED65B6"/>
    <w:rsid w:val="00ED6AFB"/>
    <w:rsid w:val="00ED6B40"/>
    <w:rsid w:val="00EE0046"/>
    <w:rsid w:val="00EE0786"/>
    <w:rsid w:val="00EE2881"/>
    <w:rsid w:val="00EE28AB"/>
    <w:rsid w:val="00EE3954"/>
    <w:rsid w:val="00EE3C3D"/>
    <w:rsid w:val="00EE3E8A"/>
    <w:rsid w:val="00EE3EB4"/>
    <w:rsid w:val="00EE4BCD"/>
    <w:rsid w:val="00EE530B"/>
    <w:rsid w:val="00EE6515"/>
    <w:rsid w:val="00EE67A2"/>
    <w:rsid w:val="00EE7F43"/>
    <w:rsid w:val="00EF03F4"/>
    <w:rsid w:val="00EF08EB"/>
    <w:rsid w:val="00EF0D9E"/>
    <w:rsid w:val="00EF12D2"/>
    <w:rsid w:val="00EF1DF3"/>
    <w:rsid w:val="00EF29AD"/>
    <w:rsid w:val="00EF375B"/>
    <w:rsid w:val="00EF41DF"/>
    <w:rsid w:val="00EF5167"/>
    <w:rsid w:val="00EF57FA"/>
    <w:rsid w:val="00EF5BDB"/>
    <w:rsid w:val="00EF6A6A"/>
    <w:rsid w:val="00F003D3"/>
    <w:rsid w:val="00F003DD"/>
    <w:rsid w:val="00F019C1"/>
    <w:rsid w:val="00F01B9A"/>
    <w:rsid w:val="00F03226"/>
    <w:rsid w:val="00F03472"/>
    <w:rsid w:val="00F03E32"/>
    <w:rsid w:val="00F04B35"/>
    <w:rsid w:val="00F04DB3"/>
    <w:rsid w:val="00F04DC7"/>
    <w:rsid w:val="00F052C3"/>
    <w:rsid w:val="00F072E2"/>
    <w:rsid w:val="00F100AA"/>
    <w:rsid w:val="00F116EC"/>
    <w:rsid w:val="00F123FB"/>
    <w:rsid w:val="00F1252D"/>
    <w:rsid w:val="00F13672"/>
    <w:rsid w:val="00F136FE"/>
    <w:rsid w:val="00F13703"/>
    <w:rsid w:val="00F137D0"/>
    <w:rsid w:val="00F158F6"/>
    <w:rsid w:val="00F15C0E"/>
    <w:rsid w:val="00F16090"/>
    <w:rsid w:val="00F16A3A"/>
    <w:rsid w:val="00F1736E"/>
    <w:rsid w:val="00F17430"/>
    <w:rsid w:val="00F174E5"/>
    <w:rsid w:val="00F20534"/>
    <w:rsid w:val="00F20F6F"/>
    <w:rsid w:val="00F21E67"/>
    <w:rsid w:val="00F2250C"/>
    <w:rsid w:val="00F24395"/>
    <w:rsid w:val="00F247B2"/>
    <w:rsid w:val="00F258DD"/>
    <w:rsid w:val="00F26963"/>
    <w:rsid w:val="00F27C1B"/>
    <w:rsid w:val="00F27F52"/>
    <w:rsid w:val="00F3070A"/>
    <w:rsid w:val="00F30A81"/>
    <w:rsid w:val="00F31023"/>
    <w:rsid w:val="00F310CE"/>
    <w:rsid w:val="00F32298"/>
    <w:rsid w:val="00F332C0"/>
    <w:rsid w:val="00F33437"/>
    <w:rsid w:val="00F33A4D"/>
    <w:rsid w:val="00F344FE"/>
    <w:rsid w:val="00F3503F"/>
    <w:rsid w:val="00F35CCE"/>
    <w:rsid w:val="00F35D7E"/>
    <w:rsid w:val="00F360B8"/>
    <w:rsid w:val="00F364C9"/>
    <w:rsid w:val="00F373C9"/>
    <w:rsid w:val="00F40475"/>
    <w:rsid w:val="00F40DCE"/>
    <w:rsid w:val="00F41494"/>
    <w:rsid w:val="00F41D98"/>
    <w:rsid w:val="00F425C7"/>
    <w:rsid w:val="00F42AB3"/>
    <w:rsid w:val="00F42E75"/>
    <w:rsid w:val="00F43857"/>
    <w:rsid w:val="00F4412A"/>
    <w:rsid w:val="00F50271"/>
    <w:rsid w:val="00F506C7"/>
    <w:rsid w:val="00F51BEC"/>
    <w:rsid w:val="00F52D16"/>
    <w:rsid w:val="00F52DEC"/>
    <w:rsid w:val="00F53227"/>
    <w:rsid w:val="00F538C8"/>
    <w:rsid w:val="00F552AB"/>
    <w:rsid w:val="00F566D9"/>
    <w:rsid w:val="00F6031B"/>
    <w:rsid w:val="00F610D6"/>
    <w:rsid w:val="00F6208E"/>
    <w:rsid w:val="00F62112"/>
    <w:rsid w:val="00F63987"/>
    <w:rsid w:val="00F63BD9"/>
    <w:rsid w:val="00F64D6D"/>
    <w:rsid w:val="00F6694C"/>
    <w:rsid w:val="00F66FEF"/>
    <w:rsid w:val="00F67802"/>
    <w:rsid w:val="00F71361"/>
    <w:rsid w:val="00F7220B"/>
    <w:rsid w:val="00F754BC"/>
    <w:rsid w:val="00F761FB"/>
    <w:rsid w:val="00F76479"/>
    <w:rsid w:val="00F77340"/>
    <w:rsid w:val="00F77FF9"/>
    <w:rsid w:val="00F77FFC"/>
    <w:rsid w:val="00F8027C"/>
    <w:rsid w:val="00F80EB3"/>
    <w:rsid w:val="00F81A90"/>
    <w:rsid w:val="00F81DBE"/>
    <w:rsid w:val="00F839C5"/>
    <w:rsid w:val="00F8462A"/>
    <w:rsid w:val="00F84895"/>
    <w:rsid w:val="00F84ACF"/>
    <w:rsid w:val="00F85399"/>
    <w:rsid w:val="00F85C0E"/>
    <w:rsid w:val="00F85C9F"/>
    <w:rsid w:val="00F9035B"/>
    <w:rsid w:val="00F9168E"/>
    <w:rsid w:val="00F9178E"/>
    <w:rsid w:val="00F917E3"/>
    <w:rsid w:val="00F91F16"/>
    <w:rsid w:val="00F92076"/>
    <w:rsid w:val="00F931E3"/>
    <w:rsid w:val="00F939FD"/>
    <w:rsid w:val="00F93CFA"/>
    <w:rsid w:val="00F93D36"/>
    <w:rsid w:val="00F948D1"/>
    <w:rsid w:val="00F9516C"/>
    <w:rsid w:val="00F95C58"/>
    <w:rsid w:val="00F967B1"/>
    <w:rsid w:val="00F96F18"/>
    <w:rsid w:val="00FA048F"/>
    <w:rsid w:val="00FA055F"/>
    <w:rsid w:val="00FA12B7"/>
    <w:rsid w:val="00FA1922"/>
    <w:rsid w:val="00FA35A0"/>
    <w:rsid w:val="00FA36F9"/>
    <w:rsid w:val="00FA4001"/>
    <w:rsid w:val="00FA43A2"/>
    <w:rsid w:val="00FA48BD"/>
    <w:rsid w:val="00FA4CC4"/>
    <w:rsid w:val="00FA5328"/>
    <w:rsid w:val="00FA5343"/>
    <w:rsid w:val="00FA6605"/>
    <w:rsid w:val="00FA7B67"/>
    <w:rsid w:val="00FB078B"/>
    <w:rsid w:val="00FB0CDD"/>
    <w:rsid w:val="00FB2730"/>
    <w:rsid w:val="00FB2BED"/>
    <w:rsid w:val="00FB2DDF"/>
    <w:rsid w:val="00FB30F3"/>
    <w:rsid w:val="00FB575A"/>
    <w:rsid w:val="00FB59C3"/>
    <w:rsid w:val="00FB65E2"/>
    <w:rsid w:val="00FB6A69"/>
    <w:rsid w:val="00FC097E"/>
    <w:rsid w:val="00FC1763"/>
    <w:rsid w:val="00FC19B4"/>
    <w:rsid w:val="00FC28F4"/>
    <w:rsid w:val="00FC2C95"/>
    <w:rsid w:val="00FC2DD3"/>
    <w:rsid w:val="00FC3B4E"/>
    <w:rsid w:val="00FC3B7D"/>
    <w:rsid w:val="00FC423F"/>
    <w:rsid w:val="00FC585E"/>
    <w:rsid w:val="00FC595F"/>
    <w:rsid w:val="00FC6B0A"/>
    <w:rsid w:val="00FC6B49"/>
    <w:rsid w:val="00FC6F50"/>
    <w:rsid w:val="00FC7564"/>
    <w:rsid w:val="00FD0AE5"/>
    <w:rsid w:val="00FD1695"/>
    <w:rsid w:val="00FD1A6A"/>
    <w:rsid w:val="00FD29A3"/>
    <w:rsid w:val="00FD399C"/>
    <w:rsid w:val="00FD4423"/>
    <w:rsid w:val="00FD665D"/>
    <w:rsid w:val="00FD73DC"/>
    <w:rsid w:val="00FD7620"/>
    <w:rsid w:val="00FD7B2C"/>
    <w:rsid w:val="00FD7B77"/>
    <w:rsid w:val="00FE0CB7"/>
    <w:rsid w:val="00FE0E49"/>
    <w:rsid w:val="00FE197E"/>
    <w:rsid w:val="00FE1DFD"/>
    <w:rsid w:val="00FE2F52"/>
    <w:rsid w:val="00FE3299"/>
    <w:rsid w:val="00FE36C3"/>
    <w:rsid w:val="00FE4462"/>
    <w:rsid w:val="00FE51F6"/>
    <w:rsid w:val="00FE5E49"/>
    <w:rsid w:val="00FF0BDF"/>
    <w:rsid w:val="00FF1CFD"/>
    <w:rsid w:val="00FF210F"/>
    <w:rsid w:val="00FF2766"/>
    <w:rsid w:val="00FF3158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BE751B"/>
  <w15:docId w15:val="{AED04E11-D9F7-413D-876E-09930A6D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6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4140A3"/>
    <w:pPr>
      <w:keepNext/>
      <w:keepLines/>
      <w:spacing w:before="240"/>
      <w:ind w:firstLine="924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aliases w:val="СТАТТЯ"/>
    <w:basedOn w:val="a"/>
    <w:next w:val="a"/>
    <w:link w:val="20"/>
    <w:uiPriority w:val="9"/>
    <w:unhideWhenUsed/>
    <w:qFormat/>
    <w:rsid w:val="00E77684"/>
    <w:pPr>
      <w:keepNext/>
      <w:keepLines/>
      <w:spacing w:before="40"/>
      <w:ind w:firstLine="924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,Абзац списку1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4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aliases w:val="СТАТТЯ Знак"/>
    <w:basedOn w:val="a0"/>
    <w:link w:val="2"/>
    <w:uiPriority w:val="9"/>
    <w:rsid w:val="004140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6">
    <w:name w:val="annotation reference"/>
    <w:basedOn w:val="a0"/>
    <w:uiPriority w:val="99"/>
    <w:unhideWhenUsed/>
    <w:qFormat/>
    <w:rsid w:val="004140A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qFormat/>
    <w:rsid w:val="004140A3"/>
    <w:pPr>
      <w:ind w:firstLine="924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ітки Знак"/>
    <w:basedOn w:val="a0"/>
    <w:link w:val="af7"/>
    <w:uiPriority w:val="99"/>
    <w:qFormat/>
    <w:rsid w:val="004140A3"/>
    <w:rPr>
      <w:rFonts w:eastAsiaTheme="minorHAnsi" w:cstheme="minorBidi"/>
      <w:sz w:val="20"/>
      <w:szCs w:val="20"/>
    </w:rPr>
  </w:style>
  <w:style w:type="table" w:customStyle="1" w:styleId="21">
    <w:name w:val="2"/>
    <w:basedOn w:val="a1"/>
    <w:rsid w:val="004140A3"/>
    <w:pPr>
      <w:spacing w:after="0" w:line="240" w:lineRule="auto"/>
      <w:ind w:firstLine="924"/>
      <w:jc w:val="both"/>
    </w:pPr>
    <w:rPr>
      <w:rFonts w:ascii="Calibri" w:hAnsi="Calibri" w:cs="Calibri"/>
      <w:lang w:eastAsia="uk-UA"/>
    </w:rPr>
    <w:tblPr>
      <w:tblStyleRowBandSize w:val="1"/>
      <w:tblStyleColBandSize w:val="1"/>
    </w:tblPr>
  </w:style>
  <w:style w:type="character" w:customStyle="1" w:styleId="rvts23">
    <w:name w:val="rvts23"/>
    <w:basedOn w:val="a0"/>
    <w:qFormat/>
    <w:rsid w:val="00A2638D"/>
  </w:style>
  <w:style w:type="paragraph" w:customStyle="1" w:styleId="rvps6">
    <w:name w:val="rvps6"/>
    <w:basedOn w:val="a"/>
    <w:rsid w:val="00A2638D"/>
    <w:pPr>
      <w:spacing w:before="100" w:beforeAutospacing="1" w:after="100" w:afterAutospacing="1"/>
      <w:ind w:firstLine="924"/>
    </w:pPr>
    <w:rPr>
      <w:sz w:val="24"/>
      <w:szCs w:val="24"/>
    </w:rPr>
  </w:style>
  <w:style w:type="paragraph" w:customStyle="1" w:styleId="rvps12">
    <w:name w:val="rvps12"/>
    <w:basedOn w:val="a"/>
    <w:rsid w:val="00A2638D"/>
    <w:pPr>
      <w:spacing w:before="100" w:beforeAutospacing="1" w:after="100" w:afterAutospacing="1"/>
      <w:ind w:firstLine="924"/>
    </w:pPr>
    <w:rPr>
      <w:sz w:val="24"/>
      <w:szCs w:val="24"/>
    </w:rPr>
  </w:style>
  <w:style w:type="character" w:customStyle="1" w:styleId="rvts82">
    <w:name w:val="rvts82"/>
    <w:basedOn w:val="a0"/>
    <w:rsid w:val="00A2638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6172"/>
    <w:pPr>
      <w:ind w:firstLine="0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fa">
    <w:name w:val="Тема примітки Знак"/>
    <w:basedOn w:val="af8"/>
    <w:link w:val="af9"/>
    <w:uiPriority w:val="99"/>
    <w:semiHidden/>
    <w:rsid w:val="000D6172"/>
    <w:rPr>
      <w:rFonts w:ascii="Times New Roman" w:eastAsiaTheme="minorHAnsi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qFormat/>
    <w:rsid w:val="00AD0B3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9">
    <w:name w:val="rvts9"/>
    <w:basedOn w:val="a0"/>
    <w:rsid w:val="00AD0B36"/>
  </w:style>
  <w:style w:type="character" w:customStyle="1" w:styleId="af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f3"/>
    <w:uiPriority w:val="34"/>
    <w:qFormat/>
    <w:locked/>
    <w:rsid w:val="00892E54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ListLabel1">
    <w:name w:val="ListLabel 1"/>
    <w:qFormat/>
    <w:rsid w:val="007857B6"/>
    <w:rPr>
      <w:color w:val="000099"/>
      <w:highlight w:val="white"/>
    </w:rPr>
  </w:style>
  <w:style w:type="character" w:customStyle="1" w:styleId="ListLabel101">
    <w:name w:val="ListLabel 101"/>
    <w:qFormat/>
    <w:rsid w:val="00F01B9A"/>
    <w:rPr>
      <w:b w:val="0"/>
      <w:bCs w:val="0"/>
      <w:strike w:val="0"/>
      <w:dstrike w:val="0"/>
      <w:sz w:val="28"/>
      <w:szCs w:val="28"/>
    </w:rPr>
  </w:style>
  <w:style w:type="paragraph" w:styleId="afb">
    <w:name w:val="Revision"/>
    <w:hidden/>
    <w:uiPriority w:val="99"/>
    <w:semiHidden/>
    <w:rsid w:val="004E56F4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7">
    <w:name w:val="rvps7"/>
    <w:basedOn w:val="a"/>
    <w:rsid w:val="0037298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37298C"/>
  </w:style>
  <w:style w:type="character" w:customStyle="1" w:styleId="rvts44">
    <w:name w:val="rvts44"/>
    <w:basedOn w:val="a0"/>
    <w:rsid w:val="00BD3C99"/>
  </w:style>
  <w:style w:type="character" w:styleId="afc">
    <w:name w:val="FollowedHyperlink"/>
    <w:basedOn w:val="a0"/>
    <w:uiPriority w:val="99"/>
    <w:semiHidden/>
    <w:unhideWhenUsed/>
    <w:rsid w:val="00994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s://zakon.rada.gov.ua/laws/show/679-1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zakon.rada.gov.ua/laws/show/679-1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zakon.rada.gov.ua/laws/show/3254-20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zakon.rada.gov.ua/laws/show/3254-20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zakon.rada.gov.ua/laws/show/1953-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2CF269-D7C1-4059-92F5-18620D8D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7110</Words>
  <Characters>4053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Коломієць Інна Петрівна</dc:creator>
  <cp:keywords/>
  <dc:description/>
  <cp:lastModifiedBy>Коломієць Інна Петрівна</cp:lastModifiedBy>
  <cp:revision>10</cp:revision>
  <cp:lastPrinted>2024-01-12T11:30:00Z</cp:lastPrinted>
  <dcterms:created xsi:type="dcterms:W3CDTF">2025-07-09T16:04:00Z</dcterms:created>
  <dcterms:modified xsi:type="dcterms:W3CDTF">2025-07-10T08:27:00Z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