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FDC64"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69DE87CE" w14:textId="77777777" w:rsidTr="00B930E3">
        <w:trPr>
          <w:trHeight w:val="851"/>
        </w:trPr>
        <w:tc>
          <w:tcPr>
            <w:tcW w:w="3207" w:type="dxa"/>
          </w:tcPr>
          <w:p w14:paraId="0996B9C7" w14:textId="77777777" w:rsidR="00410EC0" w:rsidRDefault="00410EC0" w:rsidP="000F60CD"/>
        </w:tc>
        <w:tc>
          <w:tcPr>
            <w:tcW w:w="3227" w:type="dxa"/>
            <w:vMerge w:val="restart"/>
          </w:tcPr>
          <w:p w14:paraId="7661CBC6" w14:textId="77777777" w:rsidR="00410EC0" w:rsidRDefault="00410EC0" w:rsidP="000F60CD">
            <w:pPr>
              <w:jc w:val="center"/>
            </w:pPr>
            <w:r>
              <w:object w:dxaOrig="1595" w:dyaOrig="2201" w14:anchorId="13A4F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8pt" o:ole="">
                  <v:imagedata r:id="rId12" o:title=""/>
                </v:shape>
                <o:OLEObject Type="Embed" ProgID="CorelDraw.Graphic.16" ShapeID="_x0000_i1025" DrawAspect="Content" ObjectID="_1811927019" r:id="rId13"/>
              </w:object>
            </w:r>
          </w:p>
        </w:tc>
        <w:tc>
          <w:tcPr>
            <w:tcW w:w="3204" w:type="dxa"/>
          </w:tcPr>
          <w:p w14:paraId="20D36BE2" w14:textId="1674974E" w:rsidR="00410EC0" w:rsidRDefault="00221E4D" w:rsidP="000F60CD">
            <w:r>
              <w:t xml:space="preserve">                ПРОЄКТ</w:t>
            </w:r>
          </w:p>
        </w:tc>
      </w:tr>
      <w:tr w:rsidR="00410EC0" w:rsidRPr="00A91117" w14:paraId="517E8FEA" w14:textId="77777777" w:rsidTr="00B930E3">
        <w:tc>
          <w:tcPr>
            <w:tcW w:w="3207" w:type="dxa"/>
          </w:tcPr>
          <w:p w14:paraId="190CC759" w14:textId="77777777" w:rsidR="00410EC0" w:rsidRDefault="00410EC0" w:rsidP="000F60CD"/>
        </w:tc>
        <w:tc>
          <w:tcPr>
            <w:tcW w:w="3227" w:type="dxa"/>
            <w:vMerge/>
          </w:tcPr>
          <w:p w14:paraId="1A486F2F" w14:textId="77777777" w:rsidR="00410EC0" w:rsidRDefault="00410EC0" w:rsidP="000F60CD"/>
        </w:tc>
        <w:tc>
          <w:tcPr>
            <w:tcW w:w="3204" w:type="dxa"/>
          </w:tcPr>
          <w:p w14:paraId="67DE2D59" w14:textId="77777777" w:rsidR="00410EC0" w:rsidRDefault="00410EC0" w:rsidP="000F60CD"/>
        </w:tc>
      </w:tr>
      <w:tr w:rsidR="00410EC0" w14:paraId="10E87BC9" w14:textId="77777777" w:rsidTr="00B930E3">
        <w:tc>
          <w:tcPr>
            <w:tcW w:w="9638" w:type="dxa"/>
            <w:gridSpan w:val="3"/>
          </w:tcPr>
          <w:p w14:paraId="7F63E303" w14:textId="77777777" w:rsidR="00410EC0" w:rsidRPr="00E10F0A" w:rsidRDefault="00410EC0" w:rsidP="000F60C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3608F695" w14:textId="77777777" w:rsidR="00410EC0" w:rsidRDefault="00410EC0" w:rsidP="000F60CD">
            <w:pPr>
              <w:jc w:val="center"/>
            </w:pPr>
            <w:r w:rsidRPr="00E10F0A">
              <w:rPr>
                <w:b/>
                <w:bCs/>
                <w:color w:val="006600"/>
                <w:sz w:val="32"/>
                <w:szCs w:val="32"/>
              </w:rPr>
              <w:t>П О С Т А Н О В А</w:t>
            </w:r>
          </w:p>
        </w:tc>
      </w:tr>
    </w:tbl>
    <w:p w14:paraId="41E196B3"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4298121A" w14:textId="77777777" w:rsidTr="000F60CD">
        <w:tc>
          <w:tcPr>
            <w:tcW w:w="3510" w:type="dxa"/>
            <w:vAlign w:val="bottom"/>
          </w:tcPr>
          <w:p w14:paraId="065F3237" w14:textId="77777777" w:rsidR="00410EC0" w:rsidRPr="00566BA2" w:rsidRDefault="00410EC0" w:rsidP="000F60CD"/>
        </w:tc>
        <w:tc>
          <w:tcPr>
            <w:tcW w:w="2694" w:type="dxa"/>
          </w:tcPr>
          <w:p w14:paraId="0D160BA6" w14:textId="77777777" w:rsidR="00410EC0" w:rsidRDefault="00BF0770" w:rsidP="000F60CD">
            <w:pPr>
              <w:spacing w:before="240"/>
              <w:jc w:val="center"/>
            </w:pPr>
            <w:r w:rsidRPr="009B7F4D">
              <w:rPr>
                <w:color w:val="006600"/>
                <w:lang w:val="ru-RU"/>
              </w:rPr>
              <w:t xml:space="preserve"> </w:t>
            </w:r>
            <w:r w:rsidR="00410EC0" w:rsidRPr="00E10F0A">
              <w:rPr>
                <w:color w:val="006600"/>
              </w:rPr>
              <w:t>Київ</w:t>
            </w:r>
          </w:p>
        </w:tc>
        <w:tc>
          <w:tcPr>
            <w:tcW w:w="1713" w:type="dxa"/>
            <w:vAlign w:val="bottom"/>
          </w:tcPr>
          <w:p w14:paraId="21C9A477" w14:textId="77777777" w:rsidR="00410EC0" w:rsidRPr="00101D5A" w:rsidRDefault="00410EC0" w:rsidP="000F60CD">
            <w:pPr>
              <w:jc w:val="right"/>
            </w:pPr>
            <w:r w:rsidRPr="00101D5A">
              <w:rPr>
                <w:color w:val="FFFFFF" w:themeColor="background1"/>
              </w:rPr>
              <w:t>№</w:t>
            </w:r>
          </w:p>
        </w:tc>
        <w:tc>
          <w:tcPr>
            <w:tcW w:w="1937" w:type="dxa"/>
            <w:vAlign w:val="bottom"/>
          </w:tcPr>
          <w:p w14:paraId="4FB735CE" w14:textId="77777777" w:rsidR="00410EC0" w:rsidRDefault="00410EC0" w:rsidP="000F60CD">
            <w:pPr>
              <w:jc w:val="left"/>
            </w:pPr>
          </w:p>
        </w:tc>
      </w:tr>
    </w:tbl>
    <w:p w14:paraId="5EFB495C" w14:textId="77777777" w:rsidR="00410EC0" w:rsidRPr="00CD0CD4" w:rsidRDefault="00410EC0" w:rsidP="00410EC0">
      <w:pPr>
        <w:rPr>
          <w:sz w:val="2"/>
          <w:szCs w:val="2"/>
        </w:rPr>
      </w:pPr>
    </w:p>
    <w:p w14:paraId="693A270F" w14:textId="77777777" w:rsidR="00410EC0" w:rsidRPr="00CD0CD4" w:rsidRDefault="00410EC0" w:rsidP="00410EC0">
      <w:pPr>
        <w:ind w:firstLine="709"/>
        <w:jc w:val="center"/>
        <w:rPr>
          <w:rFonts w:eastAsiaTheme="minorEastAsia"/>
          <w:color w:val="000000" w:themeColor="text1"/>
          <w:lang w:eastAsia="en-US"/>
        </w:rPr>
      </w:pPr>
    </w:p>
    <w:tbl>
      <w:tblPr>
        <w:tblStyle w:val="a9"/>
        <w:tblW w:w="36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410EC0" w:rsidRPr="00CD0CD4" w14:paraId="58CE023A" w14:textId="77777777" w:rsidTr="00835F91">
        <w:trPr>
          <w:jc w:val="center"/>
        </w:trPr>
        <w:tc>
          <w:tcPr>
            <w:tcW w:w="5000" w:type="pct"/>
          </w:tcPr>
          <w:p w14:paraId="76F96614" w14:textId="77777777" w:rsidR="00410EC0" w:rsidRPr="00CD0CD4" w:rsidRDefault="00EC40A6" w:rsidP="000F60CD">
            <w:pPr>
              <w:tabs>
                <w:tab w:val="left" w:pos="840"/>
                <w:tab w:val="center" w:pos="3293"/>
              </w:tabs>
              <w:spacing w:before="240" w:after="240"/>
              <w:jc w:val="center"/>
              <w:rPr>
                <w:rFonts w:eastAsiaTheme="minorEastAsia"/>
                <w:color w:val="000000" w:themeColor="text1"/>
                <w:lang w:eastAsia="en-US"/>
              </w:rPr>
            </w:pPr>
            <w:r w:rsidRPr="00EC40A6">
              <w:t>Про затвердження Змін до Положення про пруденційні вимоги до фінансових компаній</w:t>
            </w:r>
          </w:p>
        </w:tc>
      </w:tr>
    </w:tbl>
    <w:p w14:paraId="723859BD" w14:textId="0DAF65D3" w:rsidR="00410EC0" w:rsidRDefault="003C2EFE" w:rsidP="00410EC0">
      <w:pPr>
        <w:spacing w:before="240" w:after="240"/>
        <w:ind w:firstLine="567"/>
        <w:rPr>
          <w:b/>
        </w:rPr>
      </w:pPr>
      <w:r w:rsidRPr="00FA1CF7">
        <w:rPr>
          <w:rFonts w:eastAsia="SimSun"/>
          <w:color w:val="000000" w:themeColor="text1"/>
        </w:rPr>
        <w:t>Відповідно до статей 7, 15, 55</w:t>
      </w:r>
      <w:r w:rsidRPr="00FA1CF7">
        <w:rPr>
          <w:rFonts w:eastAsia="SimSun"/>
          <w:color w:val="000000" w:themeColor="text1"/>
          <w:vertAlign w:val="superscript"/>
        </w:rPr>
        <w:t>1</w:t>
      </w:r>
      <w:r w:rsidRPr="00FA1CF7">
        <w:rPr>
          <w:rFonts w:eastAsia="SimSun"/>
          <w:color w:val="000000" w:themeColor="text1"/>
        </w:rPr>
        <w:t>, 56, 58 Закону України “Про Національний банк України”, статті 39</w:t>
      </w:r>
      <w:r>
        <w:rPr>
          <w:rFonts w:eastAsia="SimSun"/>
          <w:color w:val="000000" w:themeColor="text1"/>
        </w:rPr>
        <w:t xml:space="preserve"> </w:t>
      </w:r>
      <w:r w:rsidRPr="00FA1CF7">
        <w:rPr>
          <w:rFonts w:eastAsia="SimSun"/>
          <w:color w:val="000000" w:themeColor="text1"/>
        </w:rPr>
        <w:t>Закону України “Про фінансові послуги та фінансові компанії”</w:t>
      </w:r>
      <w:r>
        <w:rPr>
          <w:rFonts w:eastAsia="SimSun"/>
          <w:color w:val="000000" w:themeColor="text1"/>
        </w:rPr>
        <w:t>,</w:t>
      </w:r>
      <w:r w:rsidRPr="00FA1CF7">
        <w:rPr>
          <w:rFonts w:eastAsia="SimSun"/>
          <w:color w:val="000000" w:themeColor="text1"/>
        </w:rPr>
        <w:t xml:space="preserve"> з метою</w:t>
      </w:r>
      <w:bookmarkStart w:id="0" w:name="n904"/>
      <w:bookmarkEnd w:id="0"/>
      <w:r w:rsidRPr="00FA1CF7">
        <w:rPr>
          <w:bCs/>
        </w:rPr>
        <w:t xml:space="preserve"> </w:t>
      </w:r>
      <w:r w:rsidR="0069429A">
        <w:rPr>
          <w:bCs/>
        </w:rPr>
        <w:t xml:space="preserve">вдосконалення пруденційних вимог до фінансових компаній та </w:t>
      </w:r>
      <w:r w:rsidRPr="00FA1CF7">
        <w:rPr>
          <w:bCs/>
        </w:rPr>
        <w:t xml:space="preserve">забезпечення </w:t>
      </w:r>
      <w:r w:rsidRPr="00FA1CF7">
        <w:rPr>
          <w:rFonts w:eastAsia="SimSun"/>
          <w:color w:val="000000" w:themeColor="text1"/>
        </w:rPr>
        <w:t>фінансової стійкості фінансових компаній</w:t>
      </w:r>
      <w:r w:rsidRPr="00FA1CF7">
        <w:rPr>
          <w:bCs/>
        </w:rPr>
        <w:t xml:space="preserve"> </w:t>
      </w:r>
      <w:r w:rsidR="00410EC0" w:rsidRPr="00CD0CD4">
        <w:t>Правління Національного банку України</w:t>
      </w:r>
      <w:r w:rsidR="00410EC0" w:rsidRPr="00CD0CD4">
        <w:rPr>
          <w:b/>
        </w:rPr>
        <w:t xml:space="preserve"> постановляє:</w:t>
      </w:r>
    </w:p>
    <w:p w14:paraId="76D78C5C" w14:textId="77777777" w:rsidR="00410EC0" w:rsidRDefault="00410EC0" w:rsidP="00410EC0">
      <w:pPr>
        <w:spacing w:before="240" w:after="240"/>
        <w:ind w:firstLine="567"/>
        <w:rPr>
          <w:rFonts w:eastAsiaTheme="minorEastAsia"/>
          <w:noProof/>
          <w:color w:val="000000" w:themeColor="text1"/>
          <w:lang w:eastAsia="en-US"/>
        </w:rPr>
      </w:pPr>
      <w:r w:rsidRPr="008B1589">
        <w:rPr>
          <w:lang w:val="ru-RU"/>
        </w:rPr>
        <w:t>1.</w:t>
      </w:r>
      <w:r>
        <w:rPr>
          <w:lang w:val="en-US"/>
        </w:rPr>
        <w:t> </w:t>
      </w:r>
      <w:r w:rsidR="003C2EFE">
        <w:rPr>
          <w:rFonts w:eastAsiaTheme="minorEastAsia"/>
          <w:noProof/>
          <w:color w:val="000000" w:themeColor="text1"/>
          <w:lang w:eastAsia="en-US"/>
        </w:rPr>
        <w:t xml:space="preserve">Затвердити Зміни до </w:t>
      </w:r>
      <w:r w:rsidR="003C2EFE" w:rsidRPr="00FA1CF7">
        <w:rPr>
          <w:bCs/>
        </w:rPr>
        <w:t>Положення про пруденційні вимоги до фінансових компаній</w:t>
      </w:r>
      <w:r w:rsidR="003C2EFE">
        <w:rPr>
          <w:bCs/>
        </w:rPr>
        <w:t xml:space="preserve">, затвердженого постановою Правління Національного банку України від </w:t>
      </w:r>
      <w:r w:rsidR="003C2EFE">
        <w:t>27 грудня 2023 року № 192 (зі змінами), що додаються</w:t>
      </w:r>
      <w:r w:rsidRPr="005632A7">
        <w:rPr>
          <w:rFonts w:eastAsiaTheme="minorEastAsia"/>
          <w:noProof/>
          <w:color w:val="000000" w:themeColor="text1"/>
          <w:lang w:eastAsia="en-US"/>
        </w:rPr>
        <w:t>.</w:t>
      </w:r>
    </w:p>
    <w:p w14:paraId="4630AA6B" w14:textId="77777777" w:rsidR="00410EC0" w:rsidRDefault="00410EC0"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w:t>
      </w:r>
      <w:r w:rsidR="003C2EFE">
        <w:t>Департаменту методології регулювання діяльності небанківських фінансових установ (Сергій Савчук) після офіційного опублікування довести до відома фінансових компаній інформацію про прийняття цієї постанови</w:t>
      </w:r>
      <w:r>
        <w:rPr>
          <w:rFonts w:eastAsiaTheme="minorEastAsia"/>
          <w:noProof/>
          <w:color w:val="000000" w:themeColor="text1"/>
          <w:lang w:eastAsia="en-US"/>
        </w:rPr>
        <w:t>.</w:t>
      </w:r>
    </w:p>
    <w:p w14:paraId="5406B498" w14:textId="77777777" w:rsidR="00410EC0" w:rsidRDefault="00410EC0"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3. </w:t>
      </w:r>
      <w:r w:rsidR="003C2EFE" w:rsidRPr="00ED7FB8">
        <w:rPr>
          <w:rFonts w:eastAsia="SimSun"/>
          <w:color w:val="000000" w:themeColor="text1"/>
        </w:rPr>
        <w:t xml:space="preserve">Постанова набирає чинності </w:t>
      </w:r>
      <w:r w:rsidR="003C2EFE" w:rsidRPr="008F7CB0">
        <w:rPr>
          <w:rFonts w:eastAsia="SimSun"/>
          <w:color w:val="000000" w:themeColor="text1"/>
        </w:rPr>
        <w:t>з</w:t>
      </w:r>
      <w:r w:rsidR="00835F91">
        <w:rPr>
          <w:rFonts w:eastAsia="SimSun"/>
          <w:color w:val="000000" w:themeColor="text1"/>
        </w:rPr>
        <w:t xml:space="preserve"> 01 </w:t>
      </w:r>
      <w:r w:rsidR="003C2EFE">
        <w:rPr>
          <w:rFonts w:eastAsia="SimSun"/>
          <w:color w:val="000000" w:themeColor="text1"/>
        </w:rPr>
        <w:t>січня 2026</w:t>
      </w:r>
      <w:r w:rsidR="003C2EFE" w:rsidRPr="00ED7FB8">
        <w:rPr>
          <w:rFonts w:eastAsia="SimSun"/>
          <w:color w:val="000000" w:themeColor="text1"/>
        </w:rPr>
        <w:t xml:space="preserve"> року</w:t>
      </w:r>
      <w:r>
        <w:rPr>
          <w:rFonts w:eastAsiaTheme="minorEastAsia"/>
          <w:noProof/>
          <w:color w:val="000000" w:themeColor="text1"/>
          <w:lang w:eastAsia="en-US"/>
        </w:rPr>
        <w:t>.</w:t>
      </w:r>
    </w:p>
    <w:p w14:paraId="204B1060" w14:textId="77777777" w:rsidR="00410EC0" w:rsidRDefault="00410EC0" w:rsidP="003C2EFE">
      <w:pPr>
        <w:spacing w:before="240" w:after="240"/>
        <w:ind w:firstLine="567"/>
        <w:rPr>
          <w:rFonts w:eastAsiaTheme="minorEastAsia"/>
          <w:noProof/>
          <w:color w:val="000000" w:themeColor="text1"/>
          <w:lang w:eastAsia="en-US"/>
        </w:rPr>
      </w:pPr>
    </w:p>
    <w:p w14:paraId="7ABFEE97" w14:textId="77777777" w:rsidR="00410EC0" w:rsidRDefault="00410EC0" w:rsidP="00410EC0">
      <w:pPr>
        <w:pStyle w:val="af3"/>
        <w:spacing w:before="240" w:after="120"/>
        <w:ind w:left="0" w:firstLine="567"/>
        <w:rPr>
          <w:rFonts w:eastAsiaTheme="minorEastAsia"/>
          <w:noProof/>
          <w:color w:val="000000" w:themeColor="text1"/>
          <w:lang w:eastAsia="en-US"/>
        </w:rPr>
      </w:pPr>
    </w:p>
    <w:p w14:paraId="30310E25" w14:textId="77777777" w:rsidR="00410EC0" w:rsidRPr="00E52A5D" w:rsidRDefault="00410EC0" w:rsidP="00410EC0">
      <w:pPr>
        <w:spacing w:after="120"/>
        <w:rPr>
          <w:lang w:val="ru-RU"/>
        </w:rPr>
      </w:pPr>
    </w:p>
    <w:p w14:paraId="64F85B82" w14:textId="77777777" w:rsidR="00410EC0" w:rsidRPr="00CD0CD4" w:rsidRDefault="00410EC0" w:rsidP="00410EC0">
      <w:pPr>
        <w:spacing w:after="120"/>
      </w:pPr>
    </w:p>
    <w:tbl>
      <w:tblPr>
        <w:tblStyle w:val="a9"/>
        <w:tblW w:w="13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gridCol w:w="4252"/>
      </w:tblGrid>
      <w:tr w:rsidR="003C2EFE" w:rsidRPr="00CD0CD4" w14:paraId="5B663806" w14:textId="77777777" w:rsidTr="00B00BFA">
        <w:tc>
          <w:tcPr>
            <w:tcW w:w="5387" w:type="dxa"/>
            <w:vAlign w:val="bottom"/>
          </w:tcPr>
          <w:p w14:paraId="26DB81AA" w14:textId="77777777" w:rsidR="003C2EFE" w:rsidRPr="00CD0CD4" w:rsidRDefault="003C2EFE" w:rsidP="003C2EFE">
            <w:pPr>
              <w:autoSpaceDE w:val="0"/>
              <w:autoSpaceDN w:val="0"/>
              <w:ind w:left="-111"/>
              <w:jc w:val="left"/>
            </w:pPr>
            <w:r>
              <w:t xml:space="preserve">Голова </w:t>
            </w:r>
          </w:p>
        </w:tc>
        <w:tc>
          <w:tcPr>
            <w:tcW w:w="4252" w:type="dxa"/>
            <w:vAlign w:val="bottom"/>
          </w:tcPr>
          <w:p w14:paraId="4E0A1EC3" w14:textId="59CEC42B" w:rsidR="003C2EFE" w:rsidRPr="00FA1CF7" w:rsidRDefault="0069429A" w:rsidP="0069429A">
            <w:pPr>
              <w:tabs>
                <w:tab w:val="left" w:pos="7020"/>
                <w:tab w:val="left" w:pos="7200"/>
              </w:tabs>
              <w:ind w:left="32"/>
              <w:jc w:val="right"/>
              <w:rPr>
                <w:strike/>
                <w:color w:val="000000" w:themeColor="text1"/>
              </w:rPr>
            </w:pPr>
            <w:r w:rsidRPr="00FA1CF7">
              <w:rPr>
                <w:rFonts w:eastAsia="SimSun"/>
                <w:color w:val="000000" w:themeColor="text1"/>
              </w:rPr>
              <w:t xml:space="preserve">Андрій ПИШНИЙ </w:t>
            </w:r>
          </w:p>
        </w:tc>
        <w:tc>
          <w:tcPr>
            <w:tcW w:w="4252" w:type="dxa"/>
            <w:vAlign w:val="bottom"/>
          </w:tcPr>
          <w:p w14:paraId="754B0E08" w14:textId="77777777" w:rsidR="003C2EFE" w:rsidRPr="00CD0CD4" w:rsidRDefault="00EC73A8" w:rsidP="003C2EFE">
            <w:pPr>
              <w:tabs>
                <w:tab w:val="left" w:pos="7020"/>
                <w:tab w:val="left" w:pos="7200"/>
              </w:tabs>
              <w:autoSpaceDE w:val="0"/>
              <w:autoSpaceDN w:val="0"/>
              <w:ind w:left="32"/>
              <w:jc w:val="right"/>
            </w:pPr>
            <w:sdt>
              <w:sdtPr>
                <w:id w:val="4932788"/>
                <w:placeholder>
                  <w:docPart w:val="F91BEF984F2E4EEEB3B4D096588A0B7C"/>
                </w:placeholder>
                <w:temporary/>
                <w:showingPlcHdr/>
              </w:sdtPr>
              <w:sdtEndPr/>
              <w:sdtContent>
                <w:r w:rsidR="003C2EFE" w:rsidRPr="00CD0CD4">
                  <w:rPr>
                    <w:color w:val="808080" w:themeColor="background1" w:themeShade="80"/>
                  </w:rPr>
                  <w:t>[</w:t>
                </w:r>
                <w:r w:rsidR="003C2EFE">
                  <w:rPr>
                    <w:color w:val="808080" w:themeColor="background1" w:themeShade="80"/>
                  </w:rPr>
                  <w:t>Власне ім’я</w:t>
                </w:r>
                <w:r w:rsidR="003C2EFE" w:rsidRPr="00CD0CD4">
                  <w:rPr>
                    <w:color w:val="808080" w:themeColor="background1" w:themeShade="80"/>
                  </w:rPr>
                  <w:t xml:space="preserve"> ПРІЗВИЩЕ]</w:t>
                </w:r>
              </w:sdtContent>
            </w:sdt>
          </w:p>
        </w:tc>
      </w:tr>
    </w:tbl>
    <w:p w14:paraId="7B802667" w14:textId="77777777" w:rsidR="00410EC0" w:rsidRDefault="00410EC0" w:rsidP="00410EC0"/>
    <w:p w14:paraId="7E4E30A7" w14:textId="77777777" w:rsidR="00217040" w:rsidRPr="00CD0CD4" w:rsidRDefault="00217040" w:rsidP="00410EC0"/>
    <w:p w14:paraId="18AD84F6" w14:textId="77777777" w:rsidR="003C2EFE" w:rsidRDefault="00410EC0" w:rsidP="00410EC0">
      <w:pPr>
        <w:jc w:val="left"/>
        <w:sectPr w:rsidR="003C2EFE" w:rsidSect="00E6592D">
          <w:headerReference w:type="default" r:id="rId14"/>
          <w:headerReference w:type="first" r:id="rId15"/>
          <w:pgSz w:w="11906" w:h="16838" w:code="9"/>
          <w:pgMar w:top="567" w:right="567" w:bottom="1701" w:left="1701" w:header="709" w:footer="709" w:gutter="0"/>
          <w:cols w:space="708"/>
          <w:titlePg/>
          <w:docGrid w:linePitch="381"/>
        </w:sectPr>
      </w:pPr>
      <w:r w:rsidRPr="00CD0CD4">
        <w:t>Інд.</w:t>
      </w:r>
      <w:r w:rsidRPr="00CD0CD4">
        <w:rPr>
          <w:sz w:val="22"/>
          <w:szCs w:val="22"/>
        </w:rPr>
        <w:t xml:space="preserve"> </w:t>
      </w:r>
      <w:r w:rsidR="003C2EFE">
        <w:t>33</w:t>
      </w:r>
    </w:p>
    <w:p w14:paraId="53D28272" w14:textId="77777777" w:rsidR="003C2EFE" w:rsidRDefault="003C2EFE" w:rsidP="00410EC0">
      <w:pPr>
        <w:jc w:val="left"/>
      </w:pPr>
    </w:p>
    <w:p w14:paraId="4DE32847" w14:textId="77777777" w:rsidR="003C2EFE" w:rsidRPr="008F7CB0" w:rsidRDefault="003C2EFE" w:rsidP="003C2EFE">
      <w:pPr>
        <w:widowControl w:val="0"/>
        <w:ind w:left="5954"/>
      </w:pPr>
      <w:r w:rsidRPr="008F7CB0">
        <w:rPr>
          <w:rFonts w:eastAsia="Calibri"/>
        </w:rPr>
        <w:t>ЗАТВЕРДЖЕНО</w:t>
      </w:r>
    </w:p>
    <w:p w14:paraId="1E8D15F8" w14:textId="77777777" w:rsidR="003C2EFE" w:rsidRPr="008F7CB0" w:rsidRDefault="003C2EFE" w:rsidP="003C2EFE">
      <w:pPr>
        <w:ind w:left="5954"/>
      </w:pPr>
      <w:r w:rsidRPr="008F7CB0">
        <w:rPr>
          <w:rFonts w:eastAsia="Calibri"/>
        </w:rPr>
        <w:t>Постанова Правління</w:t>
      </w:r>
    </w:p>
    <w:p w14:paraId="25908D55" w14:textId="77777777" w:rsidR="003C2EFE" w:rsidRDefault="003C2EFE" w:rsidP="003C2EFE">
      <w:pPr>
        <w:ind w:left="5954"/>
        <w:rPr>
          <w:rFonts w:eastAsia="Calibri"/>
        </w:rPr>
      </w:pPr>
      <w:r w:rsidRPr="008F7CB0">
        <w:rPr>
          <w:rFonts w:eastAsia="Calibri"/>
        </w:rPr>
        <w:t>Національного банку України</w:t>
      </w:r>
    </w:p>
    <w:p w14:paraId="358ABF3C" w14:textId="77777777" w:rsidR="003C2EFE" w:rsidRDefault="003C2EFE" w:rsidP="003C2EFE">
      <w:pPr>
        <w:ind w:left="5954"/>
        <w:rPr>
          <w:rFonts w:eastAsia="Calibri"/>
        </w:rPr>
      </w:pPr>
    </w:p>
    <w:p w14:paraId="26D733F8" w14:textId="77777777" w:rsidR="003C2EFE" w:rsidRDefault="003C2EFE" w:rsidP="003C2EFE">
      <w:pPr>
        <w:ind w:left="5954"/>
        <w:rPr>
          <w:rFonts w:eastAsia="Calibri"/>
        </w:rPr>
      </w:pPr>
    </w:p>
    <w:p w14:paraId="28F17C66" w14:textId="77777777" w:rsidR="003C2EFE" w:rsidRDefault="003C2EFE" w:rsidP="00410EC0">
      <w:pPr>
        <w:jc w:val="left"/>
      </w:pPr>
    </w:p>
    <w:p w14:paraId="533E1D96" w14:textId="77777777" w:rsidR="00E9369A" w:rsidRDefault="00E9369A" w:rsidP="00410EC0">
      <w:pPr>
        <w:jc w:val="left"/>
      </w:pPr>
    </w:p>
    <w:p w14:paraId="1101D6BE" w14:textId="77777777" w:rsidR="00E9369A" w:rsidRDefault="00E9369A" w:rsidP="00410EC0">
      <w:pPr>
        <w:jc w:val="left"/>
      </w:pPr>
    </w:p>
    <w:p w14:paraId="0E97E2EF" w14:textId="77777777" w:rsidR="00E9369A" w:rsidRDefault="00E9369A" w:rsidP="00410EC0">
      <w:pPr>
        <w:jc w:val="left"/>
      </w:pPr>
    </w:p>
    <w:p w14:paraId="73E9AF3B" w14:textId="77777777" w:rsidR="00E9369A" w:rsidRDefault="00E9369A" w:rsidP="00410EC0">
      <w:pPr>
        <w:jc w:val="left"/>
      </w:pPr>
    </w:p>
    <w:p w14:paraId="66F4646A" w14:textId="77777777" w:rsidR="00835F91" w:rsidRDefault="00835F91" w:rsidP="004364A7">
      <w:pPr>
        <w:ind w:firstLine="567"/>
        <w:jc w:val="center"/>
        <w:rPr>
          <w:bCs/>
        </w:rPr>
      </w:pPr>
      <w:r>
        <w:rPr>
          <w:bCs/>
        </w:rPr>
        <w:t>Зміни до</w:t>
      </w:r>
    </w:p>
    <w:p w14:paraId="48BD2B9F" w14:textId="77777777" w:rsidR="00835F91" w:rsidRDefault="00835F91" w:rsidP="004364A7">
      <w:pPr>
        <w:ind w:firstLine="567"/>
        <w:jc w:val="center"/>
        <w:rPr>
          <w:bCs/>
        </w:rPr>
      </w:pPr>
      <w:r w:rsidRPr="00A6265C">
        <w:rPr>
          <w:bCs/>
        </w:rPr>
        <w:t>Положення про пруденційні вимоги до фінансових компаній</w:t>
      </w:r>
    </w:p>
    <w:p w14:paraId="1C3F48EF" w14:textId="77777777" w:rsidR="00835F91" w:rsidRDefault="00835F91" w:rsidP="004364A7">
      <w:pPr>
        <w:ind w:firstLine="567"/>
        <w:jc w:val="center"/>
        <w:rPr>
          <w:bCs/>
        </w:rPr>
      </w:pPr>
    </w:p>
    <w:p w14:paraId="42DDA7F4" w14:textId="745402EA" w:rsidR="006960D6" w:rsidRDefault="00286522" w:rsidP="00835F91">
      <w:pPr>
        <w:pStyle w:val="af3"/>
        <w:numPr>
          <w:ilvl w:val="0"/>
          <w:numId w:val="1"/>
        </w:numPr>
        <w:tabs>
          <w:tab w:val="left" w:pos="851"/>
        </w:tabs>
        <w:ind w:left="0" w:firstLine="567"/>
        <w:rPr>
          <w:bCs/>
        </w:rPr>
      </w:pPr>
      <w:r>
        <w:rPr>
          <w:bCs/>
        </w:rPr>
        <w:t xml:space="preserve">В </w:t>
      </w:r>
      <w:r w:rsidR="00835F91">
        <w:rPr>
          <w:bCs/>
        </w:rPr>
        <w:t>абзаці третьому підпункту 1, підпункті 3 пункту 8, підпункті 3 пункту 9 слов</w:t>
      </w:r>
      <w:r w:rsidR="00176557">
        <w:rPr>
          <w:bCs/>
        </w:rPr>
        <w:t xml:space="preserve">о та цифри </w:t>
      </w:r>
      <w:r w:rsidR="00835F91">
        <w:rPr>
          <w:bCs/>
        </w:rPr>
        <w:t xml:space="preserve"> “пунктах 12–16” замінити словами</w:t>
      </w:r>
      <w:r w:rsidR="00176557">
        <w:rPr>
          <w:bCs/>
        </w:rPr>
        <w:t xml:space="preserve"> та цифрами</w:t>
      </w:r>
      <w:r w:rsidR="00835F91">
        <w:rPr>
          <w:bCs/>
        </w:rPr>
        <w:t xml:space="preserve"> “підпунктах 1–7 пункту 12”</w:t>
      </w:r>
      <w:r w:rsidR="006960D6">
        <w:rPr>
          <w:bCs/>
        </w:rPr>
        <w:t>.</w:t>
      </w:r>
    </w:p>
    <w:p w14:paraId="4C811F25" w14:textId="77777777" w:rsidR="006960D6" w:rsidRDefault="006960D6" w:rsidP="006960D6">
      <w:pPr>
        <w:pStyle w:val="af3"/>
        <w:tabs>
          <w:tab w:val="left" w:pos="851"/>
        </w:tabs>
        <w:ind w:left="567"/>
        <w:rPr>
          <w:bCs/>
        </w:rPr>
      </w:pPr>
    </w:p>
    <w:p w14:paraId="1094B0AD" w14:textId="77777777" w:rsidR="006960D6" w:rsidRDefault="006960D6" w:rsidP="006960D6">
      <w:pPr>
        <w:pStyle w:val="af3"/>
        <w:numPr>
          <w:ilvl w:val="0"/>
          <w:numId w:val="1"/>
        </w:numPr>
        <w:tabs>
          <w:tab w:val="left" w:pos="851"/>
        </w:tabs>
        <w:rPr>
          <w:bCs/>
        </w:rPr>
      </w:pPr>
      <w:r>
        <w:rPr>
          <w:bCs/>
        </w:rPr>
        <w:t>Пункти 12–15 викласти в такій редакції:</w:t>
      </w:r>
    </w:p>
    <w:p w14:paraId="334A9558" w14:textId="5600C8BD" w:rsidR="00286522" w:rsidRPr="00286522" w:rsidRDefault="00F717EF" w:rsidP="00286522">
      <w:pPr>
        <w:pStyle w:val="rvps2"/>
        <w:shd w:val="clear" w:color="auto" w:fill="FFFFFF"/>
        <w:spacing w:before="0" w:beforeAutospacing="0" w:after="0" w:afterAutospacing="0"/>
        <w:ind w:firstLine="567"/>
        <w:jc w:val="both"/>
        <w:rPr>
          <w:sz w:val="28"/>
          <w:szCs w:val="28"/>
        </w:rPr>
      </w:pPr>
      <w:r w:rsidRPr="00286522">
        <w:rPr>
          <w:bCs/>
        </w:rPr>
        <w:t>“</w:t>
      </w:r>
      <w:r w:rsidR="00286522" w:rsidRPr="00286522">
        <w:rPr>
          <w:sz w:val="28"/>
          <w:szCs w:val="28"/>
        </w:rPr>
        <w:t xml:space="preserve">12. Власний капітал фінансової компанії є достатнім, якщо його розмір </w:t>
      </w:r>
      <w:r w:rsidR="00286522" w:rsidRPr="00286522">
        <w:rPr>
          <w:bCs/>
          <w:sz w:val="28"/>
          <w:szCs w:val="28"/>
          <w:shd w:val="clear" w:color="auto" w:fill="FFFFFF"/>
        </w:rPr>
        <w:t xml:space="preserve">після зменшення власного капіталу на відрахування, зазначені у пункті 13 цього Положення, та </w:t>
      </w:r>
      <w:r w:rsidR="00286522">
        <w:rPr>
          <w:bCs/>
          <w:sz w:val="28"/>
          <w:szCs w:val="28"/>
          <w:shd w:val="clear" w:color="auto" w:fill="FFFFFF"/>
        </w:rPr>
        <w:t xml:space="preserve">врахування </w:t>
      </w:r>
      <w:r w:rsidR="00286522" w:rsidRPr="00286522">
        <w:rPr>
          <w:bCs/>
          <w:sz w:val="28"/>
          <w:szCs w:val="28"/>
          <w:shd w:val="clear" w:color="auto" w:fill="FFFFFF"/>
        </w:rPr>
        <w:t xml:space="preserve">субординованого боргу </w:t>
      </w:r>
      <w:r w:rsidR="00286522" w:rsidRPr="00286522">
        <w:rPr>
          <w:sz w:val="28"/>
          <w:szCs w:val="28"/>
        </w:rPr>
        <w:t xml:space="preserve">у </w:t>
      </w:r>
      <w:r w:rsidR="0069429A">
        <w:rPr>
          <w:sz w:val="28"/>
          <w:szCs w:val="28"/>
        </w:rPr>
        <w:t xml:space="preserve">складі власного капіталу у </w:t>
      </w:r>
      <w:r w:rsidR="00286522" w:rsidRPr="00286522">
        <w:rPr>
          <w:sz w:val="28"/>
          <w:szCs w:val="28"/>
        </w:rPr>
        <w:t>випадку, визначеному в пункті 14 цього Положення</w:t>
      </w:r>
      <w:r w:rsidR="00286522" w:rsidRPr="00286522">
        <w:rPr>
          <w:bCs/>
          <w:sz w:val="28"/>
          <w:szCs w:val="28"/>
          <w:shd w:val="clear" w:color="auto" w:fill="FFFFFF"/>
        </w:rPr>
        <w:t xml:space="preserve">, є </w:t>
      </w:r>
      <w:r w:rsidR="00286522" w:rsidRPr="00286522">
        <w:rPr>
          <w:sz w:val="28"/>
          <w:szCs w:val="28"/>
        </w:rPr>
        <w:t>не менший ніж:</w:t>
      </w:r>
    </w:p>
    <w:p w14:paraId="4F502929"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5147DBB7"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1) 20 мільйонів гривень, якщо фінансова компанія має право надавати одну фінансову послугу – надання гарантій;</w:t>
      </w:r>
    </w:p>
    <w:p w14:paraId="4CC4E2CE"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383DE52F"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2) 15 мільйонів гривень, якщо фінансова компанія має право надавати одну фінансову послугу – торгівля валютними цінностями в готівковій формі;</w:t>
      </w:r>
    </w:p>
    <w:p w14:paraId="398E0894"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18EBDAB4"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 xml:space="preserve">3) 10 мільйонів гривень, якщо фінансова компанія має право надавати одну фінансову послугу –  надання коштів та банківських металів у кредит, або факторинг, або фінансовий лізинг; </w:t>
      </w:r>
    </w:p>
    <w:p w14:paraId="2B31E310"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33E0B514"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4) 10 мільйонів гривень та додатково  п’ять мільйонів гривень із розрахунку на кожен включений до ліцензії вид фінансових послуг (починаючи з другого), якщо фінансова компанія має право надати два чи більше видів фінансових послуг (крім надання гарантій та/або торгівлі валютними цінностями в готівковій формі);</w:t>
      </w:r>
    </w:p>
    <w:p w14:paraId="4E8F990E"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75EF914A"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 xml:space="preserve">5) 20 мільйонів гривень та додатково п’ять мільйонів гривень із розрахунку на кожен включений до ліцензії вид фінансових послуг (починаючи з другого), якщо фінансова компанія має право на надання гарантій, а також на надання </w:t>
      </w:r>
      <w:r w:rsidRPr="00286522">
        <w:rPr>
          <w:sz w:val="28"/>
          <w:szCs w:val="28"/>
        </w:rPr>
        <w:lastRenderedPageBreak/>
        <w:t>інших видів фінансових послуг (крім торгівлі валютним цінностями в готівковій формі);</w:t>
      </w:r>
    </w:p>
    <w:p w14:paraId="02A5B09C"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2974F35E"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6) 15 мільйонів гривень (якщо фінансова компанія має ліцензію на здійснення валютних операцій в частині торгівлі валютними цінностями в готівковій формі та у неї відсутнє право на надання гарантій) та додатково п’ять мільйонів гривень із розрахунку на кожен включений до ліцензії вид фінансових послуг;</w:t>
      </w:r>
    </w:p>
    <w:p w14:paraId="06A91474"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1F824C35" w14:textId="77777777" w:rsidR="006960D6" w:rsidRPr="00286522" w:rsidRDefault="00286522" w:rsidP="00286522">
      <w:pPr>
        <w:pStyle w:val="af3"/>
        <w:ind w:left="0" w:firstLine="567"/>
      </w:pPr>
      <w:r w:rsidRPr="00286522">
        <w:t>7) 35 мільйонів гривень (якщо фінансова компанія  має право на надання гарантій та у неї є ліцензія на здійснення валютних операцій в частині торгівлі валютними цінностями в готівковій формі) та додатково п’ять мільйонів гривень із розрахунку на кожен включений до ліцензії вид фінансових послуг (крім надання гарантій).</w:t>
      </w:r>
    </w:p>
    <w:p w14:paraId="64B24B38" w14:textId="77777777" w:rsidR="00286522" w:rsidRPr="00286522" w:rsidRDefault="00286522" w:rsidP="00286522">
      <w:pPr>
        <w:pStyle w:val="af3"/>
        <w:ind w:left="0" w:firstLine="567"/>
      </w:pPr>
    </w:p>
    <w:p w14:paraId="26FC8580" w14:textId="77777777" w:rsidR="00286522" w:rsidRPr="00286522" w:rsidRDefault="00286522" w:rsidP="00286522">
      <w:pPr>
        <w:pStyle w:val="rvps2"/>
        <w:shd w:val="clear" w:color="auto" w:fill="FFFFFF"/>
        <w:tabs>
          <w:tab w:val="left" w:pos="826"/>
        </w:tabs>
        <w:spacing w:before="0" w:beforeAutospacing="0" w:after="0" w:afterAutospacing="0"/>
        <w:ind w:firstLine="567"/>
        <w:jc w:val="both"/>
        <w:rPr>
          <w:sz w:val="28"/>
          <w:szCs w:val="28"/>
        </w:rPr>
      </w:pPr>
      <w:r w:rsidRPr="00286522">
        <w:rPr>
          <w:sz w:val="28"/>
          <w:szCs w:val="28"/>
        </w:rPr>
        <w:t>13. Відрахування із власного капіталу фінансової компанії для цілей визначення достатності її власног</w:t>
      </w:r>
      <w:r>
        <w:rPr>
          <w:sz w:val="28"/>
          <w:szCs w:val="28"/>
        </w:rPr>
        <w:t xml:space="preserve">о капіталу </w:t>
      </w:r>
      <w:r w:rsidRPr="00286522">
        <w:rPr>
          <w:sz w:val="28"/>
          <w:szCs w:val="28"/>
        </w:rPr>
        <w:t>включають:</w:t>
      </w:r>
    </w:p>
    <w:p w14:paraId="409A5764" w14:textId="77777777" w:rsidR="00286522" w:rsidRPr="00286522" w:rsidRDefault="00286522" w:rsidP="00286522">
      <w:pPr>
        <w:pStyle w:val="rvps2"/>
        <w:shd w:val="clear" w:color="auto" w:fill="FFFFFF"/>
        <w:tabs>
          <w:tab w:val="left" w:pos="826"/>
        </w:tabs>
        <w:spacing w:before="0" w:beforeAutospacing="0" w:after="0" w:afterAutospacing="0"/>
        <w:ind w:firstLine="567"/>
        <w:jc w:val="both"/>
        <w:rPr>
          <w:sz w:val="28"/>
          <w:szCs w:val="28"/>
        </w:rPr>
      </w:pPr>
    </w:p>
    <w:p w14:paraId="7C1773A3" w14:textId="77777777" w:rsidR="00286522" w:rsidRPr="00286522" w:rsidRDefault="00286522" w:rsidP="00286522">
      <w:pPr>
        <w:pStyle w:val="rvps2"/>
        <w:numPr>
          <w:ilvl w:val="0"/>
          <w:numId w:val="2"/>
        </w:numPr>
        <w:shd w:val="clear" w:color="auto" w:fill="FFFFFF"/>
        <w:tabs>
          <w:tab w:val="left" w:pos="543"/>
          <w:tab w:val="left" w:pos="851"/>
        </w:tabs>
        <w:spacing w:before="0" w:beforeAutospacing="0" w:after="0" w:afterAutospacing="0"/>
        <w:ind w:left="-24" w:firstLine="567"/>
        <w:jc w:val="both"/>
        <w:rPr>
          <w:sz w:val="28"/>
          <w:szCs w:val="28"/>
        </w:rPr>
      </w:pPr>
      <w:r>
        <w:rPr>
          <w:sz w:val="28"/>
          <w:szCs w:val="28"/>
        </w:rPr>
        <w:t> </w:t>
      </w:r>
      <w:r w:rsidRPr="00286522">
        <w:rPr>
          <w:sz w:val="28"/>
          <w:szCs w:val="28"/>
        </w:rPr>
        <w:t>капітал у дооцінках;</w:t>
      </w:r>
    </w:p>
    <w:p w14:paraId="2ABC2C07" w14:textId="77777777" w:rsidR="00286522" w:rsidRPr="00286522" w:rsidRDefault="00286522" w:rsidP="00286522">
      <w:pPr>
        <w:pStyle w:val="rvps2"/>
        <w:shd w:val="clear" w:color="auto" w:fill="FFFFFF"/>
        <w:tabs>
          <w:tab w:val="left" w:pos="826"/>
        </w:tabs>
        <w:spacing w:before="0" w:beforeAutospacing="0" w:after="0" w:afterAutospacing="0"/>
        <w:ind w:left="1044" w:firstLine="567"/>
        <w:jc w:val="both"/>
        <w:rPr>
          <w:sz w:val="28"/>
          <w:szCs w:val="28"/>
        </w:rPr>
      </w:pPr>
    </w:p>
    <w:p w14:paraId="0FF1CD1B" w14:textId="77777777" w:rsidR="00286522" w:rsidRPr="00286522" w:rsidRDefault="00286522" w:rsidP="00286522">
      <w:pPr>
        <w:pStyle w:val="rvps2"/>
        <w:numPr>
          <w:ilvl w:val="0"/>
          <w:numId w:val="2"/>
        </w:numPr>
        <w:shd w:val="clear" w:color="auto" w:fill="FFFFFF"/>
        <w:tabs>
          <w:tab w:val="left" w:pos="826"/>
          <w:tab w:val="left" w:pos="967"/>
        </w:tabs>
        <w:spacing w:before="0" w:beforeAutospacing="0" w:after="0" w:afterAutospacing="0"/>
        <w:ind w:left="0" w:firstLine="567"/>
        <w:jc w:val="both"/>
        <w:rPr>
          <w:sz w:val="28"/>
          <w:szCs w:val="28"/>
        </w:rPr>
      </w:pPr>
      <w:r>
        <w:rPr>
          <w:sz w:val="28"/>
          <w:szCs w:val="28"/>
        </w:rPr>
        <w:t> </w:t>
      </w:r>
      <w:r w:rsidRPr="00286522">
        <w:rPr>
          <w:sz w:val="28"/>
          <w:szCs w:val="28"/>
        </w:rPr>
        <w:t>довгострокові фінансові інвестиції, які обліковуються за методом участі в капіталі інших підприємств;</w:t>
      </w:r>
    </w:p>
    <w:p w14:paraId="4A564000" w14:textId="77777777" w:rsidR="00286522" w:rsidRPr="00286522" w:rsidRDefault="00286522" w:rsidP="00286522">
      <w:pPr>
        <w:pStyle w:val="af3"/>
        <w:tabs>
          <w:tab w:val="left" w:pos="826"/>
        </w:tabs>
        <w:ind w:firstLine="567"/>
      </w:pPr>
    </w:p>
    <w:p w14:paraId="69E22CDE" w14:textId="77777777" w:rsidR="00286522" w:rsidRPr="00286522" w:rsidRDefault="00286522" w:rsidP="00286522">
      <w:pPr>
        <w:pStyle w:val="rvps2"/>
        <w:numPr>
          <w:ilvl w:val="0"/>
          <w:numId w:val="2"/>
        </w:numPr>
        <w:shd w:val="clear" w:color="auto" w:fill="FFFFFF"/>
        <w:tabs>
          <w:tab w:val="left" w:pos="826"/>
          <w:tab w:val="left" w:pos="967"/>
        </w:tabs>
        <w:spacing w:before="0" w:beforeAutospacing="0" w:after="0" w:afterAutospacing="0"/>
        <w:ind w:left="0" w:firstLine="567"/>
        <w:jc w:val="both"/>
        <w:rPr>
          <w:sz w:val="28"/>
          <w:szCs w:val="28"/>
        </w:rPr>
      </w:pPr>
      <w:r>
        <w:rPr>
          <w:sz w:val="28"/>
          <w:szCs w:val="28"/>
        </w:rPr>
        <w:t> </w:t>
      </w:r>
      <w:r w:rsidRPr="00286522">
        <w:rPr>
          <w:sz w:val="28"/>
          <w:szCs w:val="28"/>
        </w:rPr>
        <w:t>резервний капітал, крім резервного капіталу, сформованого за рахунок прибутку / доходу;</w:t>
      </w:r>
    </w:p>
    <w:p w14:paraId="24E03DEE" w14:textId="77777777" w:rsidR="00286522" w:rsidRPr="00286522" w:rsidRDefault="00286522" w:rsidP="00286522">
      <w:pPr>
        <w:pStyle w:val="af3"/>
        <w:tabs>
          <w:tab w:val="left" w:pos="826"/>
        </w:tabs>
        <w:ind w:firstLine="567"/>
      </w:pPr>
    </w:p>
    <w:p w14:paraId="49B4A1E9" w14:textId="77777777" w:rsidR="00286522" w:rsidRPr="00286522" w:rsidRDefault="00286522" w:rsidP="00286522">
      <w:pPr>
        <w:pStyle w:val="af3"/>
        <w:ind w:left="0" w:firstLine="567"/>
      </w:pPr>
      <w:r>
        <w:t>4) </w:t>
      </w:r>
      <w:r w:rsidRPr="00286522">
        <w:t>додатковий капітал, сформований за рахунок безоплатно отриманих необоротних активів та інших джерел, крім грошових внесків учасників (акціонерів)</w:t>
      </w:r>
      <w:r w:rsidRPr="00286522">
        <w:rPr>
          <w:lang w:val="ru-RU"/>
        </w:rPr>
        <w:t xml:space="preserve"> </w:t>
      </w:r>
      <w:r w:rsidRPr="00286522">
        <w:t>фінансової компанії.</w:t>
      </w:r>
    </w:p>
    <w:p w14:paraId="31B4484E" w14:textId="77777777" w:rsidR="00286522" w:rsidRPr="00286522" w:rsidRDefault="00286522" w:rsidP="00286522">
      <w:pPr>
        <w:pStyle w:val="af3"/>
        <w:ind w:left="0" w:firstLine="567"/>
      </w:pPr>
    </w:p>
    <w:p w14:paraId="6C4697F3" w14:textId="182BE0E6"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 xml:space="preserve">14. </w:t>
      </w:r>
      <w:r w:rsidRPr="00286522">
        <w:rPr>
          <w:sz w:val="28"/>
          <w:szCs w:val="28"/>
          <w:shd w:val="clear" w:color="auto" w:fill="FFFFFF"/>
        </w:rPr>
        <w:t xml:space="preserve">Фінансова компанія для цілей визначення достатності свого власного капіталу враховує субординований борг </w:t>
      </w:r>
      <w:r w:rsidR="0069429A">
        <w:rPr>
          <w:sz w:val="28"/>
          <w:szCs w:val="28"/>
          <w:shd w:val="clear" w:color="auto" w:fill="FFFFFF"/>
        </w:rPr>
        <w:t>у</w:t>
      </w:r>
      <w:r w:rsidRPr="00286522">
        <w:rPr>
          <w:sz w:val="28"/>
          <w:szCs w:val="28"/>
          <w:shd w:val="clear" w:color="auto" w:fill="FFFFFF"/>
        </w:rPr>
        <w:t xml:space="preserve"> склад</w:t>
      </w:r>
      <w:r w:rsidR="0069429A">
        <w:rPr>
          <w:sz w:val="28"/>
          <w:szCs w:val="28"/>
          <w:shd w:val="clear" w:color="auto" w:fill="FFFFFF"/>
        </w:rPr>
        <w:t>і</w:t>
      </w:r>
      <w:r w:rsidRPr="00286522">
        <w:rPr>
          <w:sz w:val="28"/>
          <w:szCs w:val="28"/>
          <w:shd w:val="clear" w:color="auto" w:fill="FFFFFF"/>
        </w:rPr>
        <w:t xml:space="preserve"> власного капіталу (збільшує власний капітал на суму субординованого боргу)</w:t>
      </w:r>
      <w:r w:rsidRPr="00286522">
        <w:rPr>
          <w:sz w:val="28"/>
          <w:szCs w:val="28"/>
        </w:rPr>
        <w:t>, якщо  на дату розрахунку розміру свого власного капіталу фінансова компанія має субординований борг, щодо якого вона отримала в порядку, встановленому Положенням про авторизацію надавачів фінансових послуг та умови здійснення ними діяльності з надання фінансових послуг, затверджен</w:t>
      </w:r>
      <w:r w:rsidR="00D400B9">
        <w:rPr>
          <w:sz w:val="28"/>
          <w:szCs w:val="28"/>
        </w:rPr>
        <w:t xml:space="preserve">им </w:t>
      </w:r>
      <w:r w:rsidRPr="00286522">
        <w:rPr>
          <w:sz w:val="28"/>
          <w:szCs w:val="28"/>
        </w:rPr>
        <w:t xml:space="preserve"> постановою Правління Національного банку України від 29 грудня 2023 року № 199 (зі змінами), один із таких дозволів Національного банку:</w:t>
      </w:r>
    </w:p>
    <w:p w14:paraId="6B402748"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172FE57A"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1) на включення залучених коштів на умовах субординованого боргу до регулятивного капіталу;</w:t>
      </w:r>
    </w:p>
    <w:p w14:paraId="23833796"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7BF84D28"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2) на включення залучених коштів на умовах субординованого боргу до регулятивного капіталу у зв’язку із заміною інвестора;</w:t>
      </w:r>
    </w:p>
    <w:p w14:paraId="7FB4E54C"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59CD98DB"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3) на врахування субординованого боргу фінансовою компанією у пруденційних вимогах;</w:t>
      </w:r>
    </w:p>
    <w:p w14:paraId="3F6DFA53"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79292A26" w14:textId="665F8CC0" w:rsidR="00286522" w:rsidRPr="00286522" w:rsidRDefault="00286522" w:rsidP="00286522">
      <w:pPr>
        <w:pStyle w:val="af3"/>
        <w:ind w:left="0" w:firstLine="567"/>
      </w:pPr>
      <w:r w:rsidRPr="00286522">
        <w:t>4) на врахування субординованого боргу фінансовою компанією у пруденційних вимогах у зв’язку із заміною інвестора.</w:t>
      </w:r>
    </w:p>
    <w:p w14:paraId="3B42F881" w14:textId="77777777" w:rsidR="00286522" w:rsidRPr="00286522" w:rsidRDefault="00286522" w:rsidP="00286522">
      <w:pPr>
        <w:pStyle w:val="af3"/>
        <w:ind w:left="0" w:firstLine="567"/>
        <w:rPr>
          <w:bCs/>
        </w:rPr>
      </w:pPr>
    </w:p>
    <w:p w14:paraId="13443AB8" w14:textId="62B861B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15. Фінансова компанія, яка відповідно до вимог </w:t>
      </w:r>
      <w:r w:rsidRPr="00286522">
        <w:rPr>
          <w:rFonts w:eastAsiaTheme="minorEastAsia"/>
          <w:sz w:val="28"/>
          <w:szCs w:val="28"/>
        </w:rPr>
        <w:t>пункту 14</w:t>
      </w:r>
      <w:r w:rsidRPr="00286522">
        <w:rPr>
          <w:sz w:val="28"/>
          <w:szCs w:val="28"/>
        </w:rPr>
        <w:t xml:space="preserve">  цього Положення, врахувала субординований борг </w:t>
      </w:r>
      <w:r w:rsidR="0069429A">
        <w:rPr>
          <w:sz w:val="28"/>
          <w:szCs w:val="28"/>
        </w:rPr>
        <w:t>у</w:t>
      </w:r>
      <w:r w:rsidRPr="00286522">
        <w:rPr>
          <w:sz w:val="28"/>
          <w:szCs w:val="28"/>
        </w:rPr>
        <w:t xml:space="preserve"> склад</w:t>
      </w:r>
      <w:r w:rsidR="0069429A">
        <w:rPr>
          <w:sz w:val="28"/>
          <w:szCs w:val="28"/>
        </w:rPr>
        <w:t>і</w:t>
      </w:r>
      <w:r w:rsidRPr="00286522">
        <w:rPr>
          <w:sz w:val="28"/>
          <w:szCs w:val="28"/>
        </w:rPr>
        <w:t xml:space="preserve"> власного капіталу, зменшує суму субординованого боргу, врахованого </w:t>
      </w:r>
      <w:r w:rsidR="0069429A">
        <w:rPr>
          <w:sz w:val="28"/>
          <w:szCs w:val="28"/>
        </w:rPr>
        <w:t>у</w:t>
      </w:r>
      <w:r w:rsidRPr="00286522">
        <w:rPr>
          <w:sz w:val="28"/>
          <w:szCs w:val="28"/>
        </w:rPr>
        <w:t xml:space="preserve"> склад</w:t>
      </w:r>
      <w:r w:rsidR="0069429A">
        <w:rPr>
          <w:sz w:val="28"/>
          <w:szCs w:val="28"/>
        </w:rPr>
        <w:t>і</w:t>
      </w:r>
      <w:r w:rsidRPr="00286522">
        <w:rPr>
          <w:sz w:val="28"/>
          <w:szCs w:val="28"/>
        </w:rPr>
        <w:t xml:space="preserve"> власного капіталу:</w:t>
      </w:r>
    </w:p>
    <w:p w14:paraId="3B8D4DC1"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36ECC5B2"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r w:rsidRPr="00286522">
        <w:rPr>
          <w:sz w:val="28"/>
          <w:szCs w:val="28"/>
        </w:rPr>
        <w:t>1) на суму субординованого боргу, яка була достроково погашена фінансовою компанією на дату розрахунку власного капіталу;</w:t>
      </w:r>
    </w:p>
    <w:p w14:paraId="34691CAD" w14:textId="77777777" w:rsidR="00286522" w:rsidRPr="00286522" w:rsidRDefault="00286522" w:rsidP="00286522">
      <w:pPr>
        <w:pStyle w:val="rvps2"/>
        <w:shd w:val="clear" w:color="auto" w:fill="FFFFFF"/>
        <w:spacing w:before="0" w:beforeAutospacing="0" w:after="0" w:afterAutospacing="0"/>
        <w:ind w:firstLine="567"/>
        <w:jc w:val="both"/>
        <w:rPr>
          <w:sz w:val="28"/>
          <w:szCs w:val="28"/>
        </w:rPr>
      </w:pPr>
    </w:p>
    <w:p w14:paraId="3F7DD89D" w14:textId="6B9099E1" w:rsidR="00286522" w:rsidRDefault="00286522" w:rsidP="00887622">
      <w:pPr>
        <w:shd w:val="clear" w:color="auto" w:fill="FFFFFF"/>
        <w:ind w:firstLine="709"/>
      </w:pPr>
      <w:r w:rsidRPr="00286522">
        <w:t>2) щорічно на 20 відсотків первинного або фактичного (у разі дострокового погашення певної суми субординованого боргу) розміру субординованого боргу протягом п’яти останніх років дії угоди (договору) про залучення субординованого боргу за графіком</w:t>
      </w:r>
      <w:r w:rsidR="00E47F15">
        <w:t xml:space="preserve"> </w:t>
      </w:r>
      <w:r w:rsidR="002C1977" w:rsidRPr="0089159C">
        <w:rPr>
          <w:bCs/>
        </w:rPr>
        <w:t xml:space="preserve">зменшення суми субординованого боргу, що враховується </w:t>
      </w:r>
      <w:r w:rsidR="0069429A">
        <w:rPr>
          <w:bCs/>
        </w:rPr>
        <w:t>у</w:t>
      </w:r>
      <w:r w:rsidR="002C1977" w:rsidRPr="0089159C">
        <w:rPr>
          <w:bCs/>
        </w:rPr>
        <w:t xml:space="preserve"> склад</w:t>
      </w:r>
      <w:r w:rsidR="0069429A">
        <w:rPr>
          <w:bCs/>
        </w:rPr>
        <w:t>і</w:t>
      </w:r>
      <w:r w:rsidR="002C1977" w:rsidRPr="0089159C">
        <w:rPr>
          <w:bCs/>
        </w:rPr>
        <w:t xml:space="preserve"> власного капіталу</w:t>
      </w:r>
      <w:r w:rsidRPr="00286522">
        <w:t>, зазначеним у </w:t>
      </w:r>
      <w:r w:rsidRPr="00286522">
        <w:rPr>
          <w:rFonts w:eastAsiaTheme="minorEastAsia"/>
        </w:rPr>
        <w:t>додатку</w:t>
      </w:r>
      <w:r w:rsidRPr="00286522">
        <w:t xml:space="preserve"> до цього Положення</w:t>
      </w:r>
      <w:r w:rsidR="00457609">
        <w:t>.</w:t>
      </w:r>
      <w:r>
        <w:t>”</w:t>
      </w:r>
      <w:r w:rsidRPr="00286522">
        <w:t>.</w:t>
      </w:r>
    </w:p>
    <w:p w14:paraId="59EBC89D" w14:textId="77777777" w:rsidR="00286522" w:rsidRDefault="00286522" w:rsidP="00286522">
      <w:pPr>
        <w:pStyle w:val="af3"/>
        <w:ind w:left="0" w:firstLine="567"/>
      </w:pPr>
    </w:p>
    <w:p w14:paraId="457C171C" w14:textId="77777777" w:rsidR="00286522" w:rsidRPr="00286522" w:rsidRDefault="00286522" w:rsidP="00286522">
      <w:pPr>
        <w:pStyle w:val="af3"/>
        <w:numPr>
          <w:ilvl w:val="0"/>
          <w:numId w:val="1"/>
        </w:numPr>
        <w:tabs>
          <w:tab w:val="left" w:pos="851"/>
        </w:tabs>
        <w:ind w:left="0" w:firstLine="567"/>
        <w:rPr>
          <w:bCs/>
        </w:rPr>
      </w:pPr>
      <w:r>
        <w:t>Пункти 16, 17 виключити.</w:t>
      </w:r>
    </w:p>
    <w:p w14:paraId="448F727A" w14:textId="77777777" w:rsidR="00286522" w:rsidRDefault="00286522" w:rsidP="00286522">
      <w:pPr>
        <w:pStyle w:val="af3"/>
        <w:tabs>
          <w:tab w:val="left" w:pos="851"/>
        </w:tabs>
        <w:ind w:left="567"/>
      </w:pPr>
    </w:p>
    <w:p w14:paraId="4E277BF9" w14:textId="77777777" w:rsidR="00286522" w:rsidRPr="0089159C" w:rsidRDefault="00286522" w:rsidP="00286522">
      <w:pPr>
        <w:pStyle w:val="af3"/>
        <w:numPr>
          <w:ilvl w:val="0"/>
          <w:numId w:val="1"/>
        </w:numPr>
        <w:tabs>
          <w:tab w:val="left" w:pos="851"/>
        </w:tabs>
        <w:rPr>
          <w:bCs/>
        </w:rPr>
      </w:pPr>
      <w:r w:rsidRPr="0089159C">
        <w:t>У пункті 18:</w:t>
      </w:r>
    </w:p>
    <w:p w14:paraId="5BCBEE80" w14:textId="77777777" w:rsidR="00286522" w:rsidRPr="0089159C" w:rsidRDefault="00286522" w:rsidP="00286522">
      <w:pPr>
        <w:pStyle w:val="af3"/>
        <w:ind w:left="0" w:firstLine="567"/>
        <w:rPr>
          <w:bCs/>
        </w:rPr>
      </w:pPr>
    </w:p>
    <w:p w14:paraId="398985AF" w14:textId="256C3664" w:rsidR="00286522" w:rsidRPr="0089159C" w:rsidRDefault="00077104" w:rsidP="0089159C">
      <w:pPr>
        <w:pStyle w:val="af3"/>
        <w:numPr>
          <w:ilvl w:val="0"/>
          <w:numId w:val="3"/>
        </w:numPr>
        <w:tabs>
          <w:tab w:val="left" w:pos="851"/>
        </w:tabs>
        <w:ind w:left="0" w:firstLine="567"/>
        <w:rPr>
          <w:bCs/>
        </w:rPr>
      </w:pPr>
      <w:r>
        <w:rPr>
          <w:bCs/>
        </w:rPr>
        <w:t xml:space="preserve">в абзаці другому </w:t>
      </w:r>
      <w:r w:rsidR="00286522" w:rsidRPr="0089159C">
        <w:rPr>
          <w:bCs/>
        </w:rPr>
        <w:t>знак “%” виключити;</w:t>
      </w:r>
    </w:p>
    <w:p w14:paraId="6BDA549A" w14:textId="77777777" w:rsidR="00286522" w:rsidRPr="0089159C" w:rsidRDefault="00286522" w:rsidP="0089159C">
      <w:pPr>
        <w:pStyle w:val="af3"/>
        <w:tabs>
          <w:tab w:val="left" w:pos="851"/>
        </w:tabs>
        <w:ind w:left="0" w:firstLine="567"/>
        <w:rPr>
          <w:bCs/>
        </w:rPr>
      </w:pPr>
    </w:p>
    <w:p w14:paraId="31EC8378" w14:textId="436F524D" w:rsidR="00286522" w:rsidRPr="0089159C" w:rsidRDefault="0089159C" w:rsidP="0089159C">
      <w:pPr>
        <w:pStyle w:val="af3"/>
        <w:numPr>
          <w:ilvl w:val="0"/>
          <w:numId w:val="3"/>
        </w:numPr>
        <w:tabs>
          <w:tab w:val="left" w:pos="851"/>
        </w:tabs>
        <w:ind w:left="0" w:firstLine="567"/>
        <w:rPr>
          <w:bCs/>
        </w:rPr>
      </w:pPr>
      <w:r w:rsidRPr="0089159C">
        <w:rPr>
          <w:bCs/>
        </w:rPr>
        <w:t>абзац</w:t>
      </w:r>
      <w:r w:rsidR="00682053">
        <w:rPr>
          <w:bCs/>
        </w:rPr>
        <w:t>и</w:t>
      </w:r>
      <w:r w:rsidRPr="0089159C">
        <w:rPr>
          <w:bCs/>
        </w:rPr>
        <w:t xml:space="preserve"> </w:t>
      </w:r>
      <w:r w:rsidR="00682053">
        <w:rPr>
          <w:bCs/>
        </w:rPr>
        <w:t xml:space="preserve">третій,  одинадцятий </w:t>
      </w:r>
      <w:r w:rsidRPr="0089159C">
        <w:rPr>
          <w:bCs/>
        </w:rPr>
        <w:t xml:space="preserve"> викласти в такій редакції:</w:t>
      </w:r>
    </w:p>
    <w:p w14:paraId="597C5F3F" w14:textId="32B593BD" w:rsidR="0089159C" w:rsidRPr="0089159C" w:rsidRDefault="0089159C" w:rsidP="0089159C">
      <w:pPr>
        <w:tabs>
          <w:tab w:val="left" w:pos="851"/>
        </w:tabs>
        <w:ind w:firstLine="567"/>
      </w:pPr>
      <w:r w:rsidRPr="0089159C">
        <w:rPr>
          <w:bCs/>
        </w:rPr>
        <w:t>“</w:t>
      </w:r>
      <w:r w:rsidRPr="0089159C">
        <w:t xml:space="preserve"> РК – резервний капітал, сформований за рахунок прибутку / доходу</w:t>
      </w:r>
      <w:r w:rsidR="00E90475">
        <w:t>;</w:t>
      </w:r>
      <w:r w:rsidRPr="0089159C">
        <w:t>”;</w:t>
      </w:r>
    </w:p>
    <w:p w14:paraId="1957EE15" w14:textId="796FA70D" w:rsidR="0089159C" w:rsidRDefault="0089159C" w:rsidP="0089159C">
      <w:pPr>
        <w:tabs>
          <w:tab w:val="left" w:pos="851"/>
        </w:tabs>
        <w:ind w:firstLine="567"/>
      </w:pPr>
      <w:r w:rsidRPr="0089159C">
        <w:t>“ГН –  сума наданих гарантій</w:t>
      </w:r>
      <w:r w:rsidR="003866B3">
        <w:t>;</w:t>
      </w:r>
      <w:r w:rsidRPr="0089159C">
        <w:t>”.</w:t>
      </w:r>
    </w:p>
    <w:p w14:paraId="5D556D60" w14:textId="77777777" w:rsidR="0089159C" w:rsidRDefault="0089159C" w:rsidP="0089159C">
      <w:pPr>
        <w:tabs>
          <w:tab w:val="left" w:pos="851"/>
        </w:tabs>
        <w:ind w:firstLine="567"/>
      </w:pPr>
    </w:p>
    <w:p w14:paraId="3151DC3C" w14:textId="77777777" w:rsidR="0089159C" w:rsidRPr="0089159C" w:rsidRDefault="0089159C" w:rsidP="0089159C">
      <w:pPr>
        <w:pStyle w:val="af3"/>
        <w:numPr>
          <w:ilvl w:val="0"/>
          <w:numId w:val="1"/>
        </w:numPr>
        <w:tabs>
          <w:tab w:val="left" w:pos="851"/>
        </w:tabs>
        <w:ind w:left="0" w:firstLine="567"/>
        <w:rPr>
          <w:bCs/>
        </w:rPr>
      </w:pPr>
      <w:r>
        <w:rPr>
          <w:bCs/>
        </w:rPr>
        <w:t>Положення доповнити додатком такого змісту:</w:t>
      </w:r>
    </w:p>
    <w:p w14:paraId="2C7AB3E7" w14:textId="77777777" w:rsidR="0089159C" w:rsidRPr="0089159C" w:rsidRDefault="0089159C" w:rsidP="0089159C">
      <w:pPr>
        <w:pStyle w:val="af5"/>
        <w:tabs>
          <w:tab w:val="left" w:pos="993"/>
          <w:tab w:val="left" w:pos="1134"/>
          <w:tab w:val="left" w:pos="1276"/>
        </w:tabs>
        <w:spacing w:after="0"/>
        <w:ind w:left="6521" w:right="28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9159C">
        <w:rPr>
          <w:rFonts w:ascii="Times New Roman" w:hAnsi="Times New Roman" w:cs="Times New Roman"/>
          <w:sz w:val="28"/>
          <w:szCs w:val="28"/>
          <w:shd w:val="clear" w:color="auto" w:fill="FFFFFF"/>
        </w:rPr>
        <w:t xml:space="preserve">Додаток </w:t>
      </w:r>
      <w:r w:rsidRPr="0089159C">
        <w:rPr>
          <w:rFonts w:ascii="Times New Roman" w:hAnsi="Times New Roman" w:cs="Times New Roman"/>
          <w:sz w:val="28"/>
          <w:szCs w:val="28"/>
        </w:rPr>
        <w:br/>
      </w:r>
      <w:r w:rsidRPr="0089159C">
        <w:rPr>
          <w:rFonts w:ascii="Times New Roman" w:hAnsi="Times New Roman" w:cs="Times New Roman"/>
          <w:sz w:val="28"/>
          <w:szCs w:val="28"/>
          <w:shd w:val="clear" w:color="auto" w:fill="FFFFFF"/>
        </w:rPr>
        <w:t>до Положення про пруденційні вимоги до фінансових компаній</w:t>
      </w:r>
      <w:r w:rsidRPr="0089159C">
        <w:rPr>
          <w:rFonts w:ascii="Times New Roman" w:hAnsi="Times New Roman" w:cs="Times New Roman"/>
          <w:sz w:val="28"/>
          <w:szCs w:val="28"/>
        </w:rPr>
        <w:br/>
      </w:r>
      <w:r w:rsidRPr="0089159C">
        <w:rPr>
          <w:rFonts w:ascii="Times New Roman" w:hAnsi="Times New Roman" w:cs="Times New Roman"/>
          <w:sz w:val="28"/>
          <w:szCs w:val="28"/>
          <w:shd w:val="clear" w:color="auto" w:fill="FFFFFF"/>
        </w:rPr>
        <w:t>(підпункт 2 пункту 15)</w:t>
      </w:r>
    </w:p>
    <w:p w14:paraId="7A54710B" w14:textId="77777777" w:rsidR="0089159C" w:rsidRPr="0089159C" w:rsidRDefault="0089159C" w:rsidP="0089159C">
      <w:pPr>
        <w:shd w:val="clear" w:color="auto" w:fill="FFFFFF"/>
        <w:ind w:left="450" w:right="450" w:firstLine="401"/>
        <w:jc w:val="center"/>
        <w:rPr>
          <w:bCs/>
        </w:rPr>
      </w:pPr>
    </w:p>
    <w:p w14:paraId="1481A1D1" w14:textId="77777777" w:rsidR="0055019B" w:rsidRDefault="0055019B" w:rsidP="0089159C">
      <w:pPr>
        <w:shd w:val="clear" w:color="auto" w:fill="FFFFFF"/>
        <w:ind w:left="450" w:right="450" w:firstLine="401"/>
        <w:jc w:val="center"/>
        <w:rPr>
          <w:bCs/>
        </w:rPr>
      </w:pPr>
    </w:p>
    <w:p w14:paraId="4C299B47" w14:textId="77777777" w:rsidR="0055019B" w:rsidRDefault="0055019B" w:rsidP="0055019B">
      <w:pPr>
        <w:shd w:val="clear" w:color="auto" w:fill="FFFFFF"/>
        <w:ind w:left="450" w:right="450" w:firstLine="401"/>
        <w:jc w:val="right"/>
        <w:rPr>
          <w:bCs/>
        </w:rPr>
      </w:pPr>
      <w:r>
        <w:rPr>
          <w:bCs/>
        </w:rPr>
        <w:lastRenderedPageBreak/>
        <w:t>Продовження додатка</w:t>
      </w:r>
    </w:p>
    <w:p w14:paraId="7336D027" w14:textId="77777777" w:rsidR="0055019B" w:rsidRDefault="0055019B" w:rsidP="0089159C">
      <w:pPr>
        <w:shd w:val="clear" w:color="auto" w:fill="FFFFFF"/>
        <w:ind w:left="450" w:right="450" w:firstLine="401"/>
        <w:jc w:val="center"/>
        <w:rPr>
          <w:bCs/>
        </w:rPr>
      </w:pPr>
    </w:p>
    <w:p w14:paraId="18DC4E73" w14:textId="2ACF7CCB" w:rsidR="0089159C" w:rsidRDefault="0089159C" w:rsidP="0089159C">
      <w:pPr>
        <w:shd w:val="clear" w:color="auto" w:fill="FFFFFF"/>
        <w:ind w:left="450" w:right="450" w:firstLine="401"/>
        <w:jc w:val="center"/>
        <w:rPr>
          <w:bCs/>
        </w:rPr>
      </w:pPr>
      <w:r w:rsidRPr="0089159C">
        <w:rPr>
          <w:bCs/>
        </w:rPr>
        <w:t>Графік</w:t>
      </w:r>
      <w:r w:rsidRPr="0089159C">
        <w:br/>
      </w:r>
      <w:r w:rsidRPr="0089159C">
        <w:rPr>
          <w:bCs/>
        </w:rPr>
        <w:t xml:space="preserve">зменшення суми субординованого боргу, що враховується </w:t>
      </w:r>
      <w:r w:rsidR="0069429A">
        <w:rPr>
          <w:bCs/>
        </w:rPr>
        <w:t>у</w:t>
      </w:r>
      <w:r w:rsidRPr="0089159C">
        <w:rPr>
          <w:bCs/>
        </w:rPr>
        <w:t xml:space="preserve"> склад</w:t>
      </w:r>
      <w:r w:rsidR="0069429A">
        <w:rPr>
          <w:bCs/>
        </w:rPr>
        <w:t>і</w:t>
      </w:r>
      <w:r w:rsidRPr="0089159C">
        <w:rPr>
          <w:bCs/>
        </w:rPr>
        <w:t xml:space="preserve"> власного капіталу</w:t>
      </w:r>
    </w:p>
    <w:p w14:paraId="56BA4301" w14:textId="77777777" w:rsidR="00E9369A" w:rsidRPr="0089159C" w:rsidRDefault="00E9369A" w:rsidP="0089159C">
      <w:pPr>
        <w:shd w:val="clear" w:color="auto" w:fill="FFFFFF"/>
        <w:ind w:left="450" w:right="450" w:firstLine="401"/>
        <w:jc w:val="center"/>
        <w:rPr>
          <w:bCs/>
        </w:rPr>
      </w:pPr>
      <w:bookmarkStart w:id="1" w:name="_GoBack"/>
      <w:bookmarkEnd w:id="1"/>
    </w:p>
    <w:p w14:paraId="42A9642A" w14:textId="77777777" w:rsidR="0089159C" w:rsidRDefault="0089159C" w:rsidP="00217040">
      <w:pPr>
        <w:shd w:val="clear" w:color="auto" w:fill="FFFFFF"/>
        <w:ind w:left="8505" w:right="-2" w:firstLine="26"/>
        <w:jc w:val="left"/>
      </w:pPr>
      <w:r w:rsidRPr="0089159C">
        <w:t>Таблиця</w:t>
      </w:r>
    </w:p>
    <w:p w14:paraId="77748130" w14:textId="77777777" w:rsidR="0089159C" w:rsidRPr="0089159C" w:rsidRDefault="0089159C" w:rsidP="0089159C">
      <w:pPr>
        <w:shd w:val="clear" w:color="auto" w:fill="FFFFFF"/>
        <w:ind w:left="4936" w:right="-2" w:firstLine="401"/>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770"/>
        <w:gridCol w:w="5103"/>
        <w:gridCol w:w="3755"/>
      </w:tblGrid>
      <w:tr w:rsidR="0089159C" w:rsidRPr="0089159C" w14:paraId="332BEAE4" w14:textId="77777777" w:rsidTr="003D28BE">
        <w:tc>
          <w:tcPr>
            <w:tcW w:w="400" w:type="pct"/>
            <w:vAlign w:val="center"/>
            <w:hideMark/>
          </w:tcPr>
          <w:p w14:paraId="4B8CF7C9" w14:textId="77777777" w:rsidR="0089159C" w:rsidRPr="0089159C" w:rsidRDefault="0089159C" w:rsidP="0089159C">
            <w:pPr>
              <w:jc w:val="center"/>
            </w:pPr>
            <w:r w:rsidRPr="0089159C">
              <w:t>№ з/п</w:t>
            </w:r>
          </w:p>
        </w:tc>
        <w:tc>
          <w:tcPr>
            <w:tcW w:w="2650" w:type="pct"/>
            <w:vAlign w:val="center"/>
            <w:hideMark/>
          </w:tcPr>
          <w:p w14:paraId="7A0AC2D7" w14:textId="77777777" w:rsidR="0089159C" w:rsidRPr="0089159C" w:rsidRDefault="0089159C" w:rsidP="00945424">
            <w:pPr>
              <w:ind w:firstLine="401"/>
              <w:jc w:val="center"/>
            </w:pPr>
            <w:r w:rsidRPr="0089159C">
              <w:t>Строк до закінчення дії угоди (договору) про залучення субординованого боргу</w:t>
            </w:r>
          </w:p>
        </w:tc>
        <w:tc>
          <w:tcPr>
            <w:tcW w:w="0" w:type="auto"/>
            <w:vAlign w:val="center"/>
            <w:hideMark/>
          </w:tcPr>
          <w:p w14:paraId="09E1B6BB" w14:textId="3085F31A" w:rsidR="0089159C" w:rsidRPr="0089159C" w:rsidRDefault="0089159C" w:rsidP="00945424">
            <w:pPr>
              <w:ind w:firstLine="401"/>
              <w:jc w:val="center"/>
            </w:pPr>
            <w:r w:rsidRPr="0089159C">
              <w:t xml:space="preserve">Сума субординованого боргу, що враховується </w:t>
            </w:r>
            <w:r w:rsidR="00E34894">
              <w:t>у</w:t>
            </w:r>
            <w:r w:rsidRPr="0089159C">
              <w:t xml:space="preserve"> склад</w:t>
            </w:r>
            <w:r w:rsidR="00E34894">
              <w:t>і</w:t>
            </w:r>
            <w:r w:rsidRPr="0089159C">
              <w:t xml:space="preserve"> власного капіталу</w:t>
            </w:r>
          </w:p>
        </w:tc>
      </w:tr>
      <w:tr w:rsidR="0089159C" w:rsidRPr="0089159C" w14:paraId="3FC5265C" w14:textId="77777777" w:rsidTr="003D28BE">
        <w:tc>
          <w:tcPr>
            <w:tcW w:w="400" w:type="pct"/>
            <w:hideMark/>
          </w:tcPr>
          <w:p w14:paraId="36DF0731" w14:textId="77777777" w:rsidR="0089159C" w:rsidRPr="0089159C" w:rsidRDefault="0089159C" w:rsidP="00945424">
            <w:pPr>
              <w:ind w:firstLine="401"/>
              <w:jc w:val="center"/>
            </w:pPr>
            <w:r w:rsidRPr="0089159C">
              <w:t>1</w:t>
            </w:r>
          </w:p>
        </w:tc>
        <w:tc>
          <w:tcPr>
            <w:tcW w:w="2650" w:type="pct"/>
            <w:hideMark/>
          </w:tcPr>
          <w:p w14:paraId="2523BEE4" w14:textId="77777777" w:rsidR="0089159C" w:rsidRPr="0089159C" w:rsidRDefault="0089159C" w:rsidP="00945424">
            <w:pPr>
              <w:ind w:firstLine="401"/>
              <w:jc w:val="center"/>
            </w:pPr>
            <w:r w:rsidRPr="0089159C">
              <w:t>2</w:t>
            </w:r>
          </w:p>
        </w:tc>
        <w:tc>
          <w:tcPr>
            <w:tcW w:w="0" w:type="auto"/>
            <w:hideMark/>
          </w:tcPr>
          <w:p w14:paraId="675EED5E" w14:textId="77777777" w:rsidR="0089159C" w:rsidRPr="0089159C" w:rsidRDefault="0089159C" w:rsidP="00945424">
            <w:pPr>
              <w:ind w:firstLine="401"/>
              <w:jc w:val="center"/>
            </w:pPr>
            <w:r w:rsidRPr="0089159C">
              <w:t>3</w:t>
            </w:r>
          </w:p>
        </w:tc>
      </w:tr>
      <w:tr w:rsidR="0089159C" w:rsidRPr="0089159C" w14:paraId="733838E4" w14:textId="77777777" w:rsidTr="003D28BE">
        <w:tc>
          <w:tcPr>
            <w:tcW w:w="400" w:type="pct"/>
            <w:hideMark/>
          </w:tcPr>
          <w:p w14:paraId="095D70E4" w14:textId="77777777" w:rsidR="0089159C" w:rsidRPr="0089159C" w:rsidRDefault="0089159C" w:rsidP="00945424">
            <w:pPr>
              <w:ind w:firstLine="401"/>
              <w:jc w:val="center"/>
            </w:pPr>
            <w:r w:rsidRPr="0089159C">
              <w:t>1</w:t>
            </w:r>
          </w:p>
        </w:tc>
        <w:tc>
          <w:tcPr>
            <w:tcW w:w="2650" w:type="pct"/>
            <w:hideMark/>
          </w:tcPr>
          <w:p w14:paraId="60C089A8" w14:textId="77777777" w:rsidR="0089159C" w:rsidRPr="0089159C" w:rsidRDefault="0089159C" w:rsidP="00945424">
            <w:pPr>
              <w:ind w:firstLine="401"/>
            </w:pPr>
            <w:r w:rsidRPr="0089159C">
              <w:t>Більше чотирьох років</w:t>
            </w:r>
          </w:p>
        </w:tc>
        <w:tc>
          <w:tcPr>
            <w:tcW w:w="0" w:type="auto"/>
            <w:hideMark/>
          </w:tcPr>
          <w:p w14:paraId="556DE006" w14:textId="77777777" w:rsidR="0089159C" w:rsidRPr="0089159C" w:rsidRDefault="0089159C" w:rsidP="00945424">
            <w:pPr>
              <w:ind w:firstLine="401"/>
              <w:jc w:val="center"/>
            </w:pPr>
            <w:r w:rsidRPr="0089159C">
              <w:t>100</w:t>
            </w:r>
          </w:p>
        </w:tc>
      </w:tr>
      <w:tr w:rsidR="0089159C" w:rsidRPr="0089159C" w14:paraId="364C9812" w14:textId="77777777" w:rsidTr="003D28BE">
        <w:tc>
          <w:tcPr>
            <w:tcW w:w="400" w:type="pct"/>
            <w:hideMark/>
          </w:tcPr>
          <w:p w14:paraId="4EEB868D" w14:textId="77777777" w:rsidR="0089159C" w:rsidRPr="0089159C" w:rsidRDefault="0089159C" w:rsidP="00945424">
            <w:pPr>
              <w:ind w:firstLine="401"/>
              <w:jc w:val="center"/>
            </w:pPr>
            <w:r w:rsidRPr="0089159C">
              <w:t>2</w:t>
            </w:r>
          </w:p>
        </w:tc>
        <w:tc>
          <w:tcPr>
            <w:tcW w:w="2650" w:type="pct"/>
            <w:hideMark/>
          </w:tcPr>
          <w:p w14:paraId="3C95B5A6" w14:textId="77777777" w:rsidR="0089159C" w:rsidRPr="0089159C" w:rsidRDefault="0089159C" w:rsidP="00945424">
            <w:pPr>
              <w:ind w:firstLine="401"/>
            </w:pPr>
            <w:r w:rsidRPr="0089159C">
              <w:t>Від чотирьох до трьох років</w:t>
            </w:r>
          </w:p>
        </w:tc>
        <w:tc>
          <w:tcPr>
            <w:tcW w:w="0" w:type="auto"/>
            <w:hideMark/>
          </w:tcPr>
          <w:p w14:paraId="566686C2" w14:textId="77777777" w:rsidR="0089159C" w:rsidRPr="0089159C" w:rsidRDefault="0089159C" w:rsidP="00945424">
            <w:pPr>
              <w:ind w:firstLine="401"/>
              <w:jc w:val="center"/>
            </w:pPr>
            <w:r w:rsidRPr="0089159C">
              <w:t>80</w:t>
            </w:r>
          </w:p>
        </w:tc>
      </w:tr>
      <w:tr w:rsidR="0089159C" w:rsidRPr="0089159C" w14:paraId="0ABBA4C3" w14:textId="77777777" w:rsidTr="003D28BE">
        <w:tc>
          <w:tcPr>
            <w:tcW w:w="400" w:type="pct"/>
            <w:hideMark/>
          </w:tcPr>
          <w:p w14:paraId="3372AAFA" w14:textId="77777777" w:rsidR="0089159C" w:rsidRPr="0089159C" w:rsidRDefault="0089159C" w:rsidP="00945424">
            <w:pPr>
              <w:ind w:firstLine="401"/>
              <w:jc w:val="center"/>
            </w:pPr>
            <w:r w:rsidRPr="0089159C">
              <w:t>3</w:t>
            </w:r>
          </w:p>
        </w:tc>
        <w:tc>
          <w:tcPr>
            <w:tcW w:w="2650" w:type="pct"/>
            <w:hideMark/>
          </w:tcPr>
          <w:p w14:paraId="51161AC0" w14:textId="77777777" w:rsidR="0089159C" w:rsidRPr="0089159C" w:rsidRDefault="0089159C" w:rsidP="00945424">
            <w:pPr>
              <w:ind w:firstLine="401"/>
            </w:pPr>
            <w:r w:rsidRPr="0089159C">
              <w:t>Від трьох до двох років</w:t>
            </w:r>
          </w:p>
        </w:tc>
        <w:tc>
          <w:tcPr>
            <w:tcW w:w="0" w:type="auto"/>
            <w:hideMark/>
          </w:tcPr>
          <w:p w14:paraId="580D2119" w14:textId="77777777" w:rsidR="0089159C" w:rsidRPr="0089159C" w:rsidRDefault="0089159C" w:rsidP="00945424">
            <w:pPr>
              <w:ind w:firstLine="401"/>
              <w:jc w:val="center"/>
            </w:pPr>
            <w:r w:rsidRPr="0089159C">
              <w:t>60</w:t>
            </w:r>
          </w:p>
        </w:tc>
      </w:tr>
      <w:tr w:rsidR="0089159C" w:rsidRPr="0089159C" w14:paraId="50B23B6F" w14:textId="77777777" w:rsidTr="003D28BE">
        <w:tc>
          <w:tcPr>
            <w:tcW w:w="400" w:type="pct"/>
            <w:hideMark/>
          </w:tcPr>
          <w:p w14:paraId="5BAC76CC" w14:textId="77777777" w:rsidR="0089159C" w:rsidRPr="0089159C" w:rsidRDefault="0089159C" w:rsidP="00945424">
            <w:pPr>
              <w:ind w:firstLine="401"/>
              <w:jc w:val="center"/>
            </w:pPr>
            <w:r w:rsidRPr="0089159C">
              <w:t>4</w:t>
            </w:r>
          </w:p>
        </w:tc>
        <w:tc>
          <w:tcPr>
            <w:tcW w:w="2650" w:type="pct"/>
            <w:hideMark/>
          </w:tcPr>
          <w:p w14:paraId="02566587" w14:textId="77777777" w:rsidR="0089159C" w:rsidRPr="0089159C" w:rsidRDefault="0089159C" w:rsidP="00945424">
            <w:pPr>
              <w:ind w:firstLine="401"/>
            </w:pPr>
            <w:r w:rsidRPr="0089159C">
              <w:t>Від двох до одного року</w:t>
            </w:r>
          </w:p>
        </w:tc>
        <w:tc>
          <w:tcPr>
            <w:tcW w:w="0" w:type="auto"/>
            <w:hideMark/>
          </w:tcPr>
          <w:p w14:paraId="4781915B" w14:textId="77777777" w:rsidR="0089159C" w:rsidRPr="0089159C" w:rsidRDefault="0089159C" w:rsidP="00945424">
            <w:pPr>
              <w:ind w:firstLine="401"/>
              <w:jc w:val="center"/>
            </w:pPr>
            <w:r w:rsidRPr="0089159C">
              <w:t>40</w:t>
            </w:r>
          </w:p>
        </w:tc>
      </w:tr>
      <w:tr w:rsidR="0089159C" w:rsidRPr="0089159C" w14:paraId="73ED1810" w14:textId="77777777" w:rsidTr="003D28BE">
        <w:tc>
          <w:tcPr>
            <w:tcW w:w="400" w:type="pct"/>
            <w:hideMark/>
          </w:tcPr>
          <w:p w14:paraId="609EE6F7" w14:textId="77777777" w:rsidR="0089159C" w:rsidRPr="0089159C" w:rsidRDefault="0089159C" w:rsidP="00945424">
            <w:pPr>
              <w:ind w:firstLine="401"/>
              <w:jc w:val="center"/>
            </w:pPr>
            <w:r w:rsidRPr="0089159C">
              <w:t>5</w:t>
            </w:r>
          </w:p>
        </w:tc>
        <w:tc>
          <w:tcPr>
            <w:tcW w:w="2650" w:type="pct"/>
            <w:hideMark/>
          </w:tcPr>
          <w:p w14:paraId="4B0F832C" w14:textId="77777777" w:rsidR="0089159C" w:rsidRPr="0089159C" w:rsidRDefault="0089159C" w:rsidP="00945424">
            <w:pPr>
              <w:ind w:firstLine="401"/>
            </w:pPr>
            <w:r w:rsidRPr="0089159C">
              <w:t>Менше одного року</w:t>
            </w:r>
          </w:p>
        </w:tc>
        <w:tc>
          <w:tcPr>
            <w:tcW w:w="0" w:type="auto"/>
            <w:hideMark/>
          </w:tcPr>
          <w:p w14:paraId="2D2808FA" w14:textId="77777777" w:rsidR="0089159C" w:rsidRPr="0089159C" w:rsidRDefault="0089159C" w:rsidP="00945424">
            <w:pPr>
              <w:ind w:firstLine="401"/>
              <w:jc w:val="center"/>
            </w:pPr>
            <w:r w:rsidRPr="0089159C">
              <w:t>20</w:t>
            </w:r>
          </w:p>
        </w:tc>
      </w:tr>
    </w:tbl>
    <w:p w14:paraId="69C11552" w14:textId="77777777" w:rsidR="0089159C" w:rsidRPr="0089159C" w:rsidRDefault="0089159C" w:rsidP="0089159C">
      <w:pPr>
        <w:shd w:val="clear" w:color="auto" w:fill="FFFFFF"/>
        <w:ind w:firstLine="401"/>
        <w:rPr>
          <w:color w:val="333333"/>
          <w:sz w:val="24"/>
          <w:szCs w:val="24"/>
        </w:rPr>
      </w:pPr>
    </w:p>
    <w:p w14:paraId="2F5BE034" w14:textId="77777777" w:rsidR="0089159C" w:rsidRPr="0089159C" w:rsidRDefault="0089159C" w:rsidP="0089159C">
      <w:pPr>
        <w:shd w:val="clear" w:color="auto" w:fill="FFFFFF"/>
        <w:ind w:firstLine="567"/>
      </w:pPr>
      <w:r w:rsidRPr="0089159C">
        <w:t>1. Приклад № 1.</w:t>
      </w:r>
    </w:p>
    <w:p w14:paraId="72B4F691" w14:textId="77777777" w:rsidR="0089159C" w:rsidRPr="0089159C" w:rsidRDefault="0089159C" w:rsidP="0089159C">
      <w:pPr>
        <w:shd w:val="clear" w:color="auto" w:fill="FFFFFF"/>
        <w:ind w:firstLine="567"/>
      </w:pPr>
      <w:r w:rsidRPr="0089159C">
        <w:t>Строк, на який фінансова компанія залучила кошти на умовах субординованого боргу, становить сім років (з 01 лютого 2020 року до 31 січня 2027 року).</w:t>
      </w:r>
    </w:p>
    <w:p w14:paraId="2364040D" w14:textId="1DCC0AC8" w:rsidR="0089159C" w:rsidRPr="0089159C" w:rsidRDefault="0089159C" w:rsidP="0089159C">
      <w:pPr>
        <w:shd w:val="clear" w:color="auto" w:fill="FFFFFF"/>
        <w:ind w:firstLine="567"/>
      </w:pPr>
      <w:r w:rsidRPr="0089159C">
        <w:t xml:space="preserve">Сума залучених коштів на умовах субординованого боргу, на яку отримано </w:t>
      </w:r>
      <w:r w:rsidR="00E34894" w:rsidRPr="00E34894">
        <w:t>один із дозволів Національного банку, зазначених в підпунктах 1–4 пункту 14 Положення про пруденційні вимоги до фінансових компаній (далі – дозвіл)</w:t>
      </w:r>
      <w:r w:rsidRPr="0089159C">
        <w:t>, дорівнює 600000 грн.</w:t>
      </w:r>
    </w:p>
    <w:p w14:paraId="4EFC2570" w14:textId="51A132A1" w:rsidR="0089159C" w:rsidRPr="0089159C" w:rsidRDefault="0089159C" w:rsidP="0089159C">
      <w:pPr>
        <w:shd w:val="clear" w:color="auto" w:fill="FFFFFF"/>
        <w:ind w:firstLine="567"/>
      </w:pPr>
      <w:r w:rsidRPr="0089159C">
        <w:t xml:space="preserve">Розрахунок суми субординованого боргу, що враховується </w:t>
      </w:r>
      <w:r w:rsidR="00E34894">
        <w:t>у</w:t>
      </w:r>
      <w:r w:rsidRPr="0089159C">
        <w:t xml:space="preserve"> склад</w:t>
      </w:r>
      <w:r w:rsidR="00E34894">
        <w:t>і</w:t>
      </w:r>
      <w:r w:rsidRPr="0089159C">
        <w:t xml:space="preserve"> власного капіталу, здійснюється так:</w:t>
      </w:r>
    </w:p>
    <w:p w14:paraId="3A3514CD" w14:textId="77777777" w:rsidR="0089159C" w:rsidRPr="0089159C" w:rsidRDefault="0089159C" w:rsidP="0089159C">
      <w:pPr>
        <w:shd w:val="clear" w:color="auto" w:fill="FFFFFF"/>
        <w:ind w:firstLine="567"/>
      </w:pPr>
    </w:p>
    <w:p w14:paraId="216BD185" w14:textId="77777777" w:rsidR="0089159C" w:rsidRPr="0089159C" w:rsidRDefault="0089159C" w:rsidP="0089159C">
      <w:pPr>
        <w:shd w:val="clear" w:color="auto" w:fill="FFFFFF"/>
        <w:ind w:firstLine="567"/>
      </w:pPr>
      <w:r w:rsidRPr="0089159C">
        <w:t>1) з 01 лютого 2020 року до 31 січня 2023 року - 100%, або 600000 грн;</w:t>
      </w:r>
    </w:p>
    <w:p w14:paraId="40519503" w14:textId="77777777" w:rsidR="0089159C" w:rsidRPr="0089159C" w:rsidRDefault="0089159C" w:rsidP="0089159C">
      <w:pPr>
        <w:shd w:val="clear" w:color="auto" w:fill="FFFFFF"/>
        <w:ind w:firstLine="567"/>
      </w:pPr>
    </w:p>
    <w:p w14:paraId="14CE68B0" w14:textId="77777777" w:rsidR="0089159C" w:rsidRPr="0089159C" w:rsidRDefault="0089159C" w:rsidP="0089159C">
      <w:pPr>
        <w:shd w:val="clear" w:color="auto" w:fill="FFFFFF"/>
        <w:ind w:firstLine="567"/>
      </w:pPr>
      <w:r w:rsidRPr="0089159C">
        <w:t>2) з 01 лютого 2023 року до 31 січня 2024 року - 80%, або 480000 грн;</w:t>
      </w:r>
    </w:p>
    <w:p w14:paraId="4D92DE2F" w14:textId="77777777" w:rsidR="0089159C" w:rsidRPr="0089159C" w:rsidRDefault="0089159C" w:rsidP="0089159C">
      <w:pPr>
        <w:shd w:val="clear" w:color="auto" w:fill="FFFFFF"/>
        <w:ind w:firstLine="567"/>
      </w:pPr>
    </w:p>
    <w:p w14:paraId="16629E66" w14:textId="77777777" w:rsidR="0089159C" w:rsidRPr="0089159C" w:rsidRDefault="0089159C" w:rsidP="0089159C">
      <w:pPr>
        <w:shd w:val="clear" w:color="auto" w:fill="FFFFFF"/>
        <w:ind w:firstLine="567"/>
      </w:pPr>
      <w:r w:rsidRPr="0089159C">
        <w:t>3) з 01 лютого 2024 року до 31 січня 2025 року - 60%, або 360000 грн;</w:t>
      </w:r>
    </w:p>
    <w:p w14:paraId="6063630E" w14:textId="77777777" w:rsidR="0089159C" w:rsidRPr="0089159C" w:rsidRDefault="0089159C" w:rsidP="0089159C">
      <w:pPr>
        <w:shd w:val="clear" w:color="auto" w:fill="FFFFFF"/>
        <w:ind w:firstLine="567"/>
      </w:pPr>
    </w:p>
    <w:p w14:paraId="5FDBEC2C" w14:textId="77777777" w:rsidR="0089159C" w:rsidRPr="0089159C" w:rsidRDefault="0089159C" w:rsidP="0089159C">
      <w:pPr>
        <w:shd w:val="clear" w:color="auto" w:fill="FFFFFF"/>
        <w:ind w:firstLine="567"/>
      </w:pPr>
      <w:r w:rsidRPr="0089159C">
        <w:t>4) з 01 лютого 2025 року до 31 січня 2026 року - 40%, або 240000 грн;</w:t>
      </w:r>
    </w:p>
    <w:p w14:paraId="130036E5" w14:textId="77777777" w:rsidR="0089159C" w:rsidRPr="0089159C" w:rsidRDefault="0089159C" w:rsidP="0089159C">
      <w:pPr>
        <w:shd w:val="clear" w:color="auto" w:fill="FFFFFF"/>
        <w:ind w:firstLine="567"/>
      </w:pPr>
    </w:p>
    <w:p w14:paraId="0A4699AE" w14:textId="77777777" w:rsidR="0089159C" w:rsidRPr="0089159C" w:rsidRDefault="0089159C" w:rsidP="0089159C">
      <w:pPr>
        <w:shd w:val="clear" w:color="auto" w:fill="FFFFFF"/>
        <w:ind w:firstLine="567"/>
      </w:pPr>
      <w:r w:rsidRPr="0089159C">
        <w:t>5) з 01 лютого 2026 року до 31 січня 2027 року - 20%, або 120000 грн.</w:t>
      </w:r>
    </w:p>
    <w:p w14:paraId="51825B50" w14:textId="77777777" w:rsidR="0089159C" w:rsidRPr="0089159C" w:rsidRDefault="0089159C" w:rsidP="0089159C">
      <w:pPr>
        <w:shd w:val="clear" w:color="auto" w:fill="FFFFFF"/>
        <w:ind w:firstLine="567"/>
      </w:pPr>
    </w:p>
    <w:p w14:paraId="10F5E142" w14:textId="092C6A66" w:rsidR="0089159C" w:rsidRDefault="0089159C" w:rsidP="0089159C">
      <w:pPr>
        <w:shd w:val="clear" w:color="auto" w:fill="FFFFFF"/>
        <w:ind w:firstLine="567"/>
      </w:pPr>
      <w:r w:rsidRPr="0089159C">
        <w:t>2. Приклад № 2.</w:t>
      </w:r>
    </w:p>
    <w:p w14:paraId="07FA7B3D" w14:textId="1E764292" w:rsidR="003B12DA" w:rsidRDefault="003B12DA" w:rsidP="0089159C">
      <w:pPr>
        <w:shd w:val="clear" w:color="auto" w:fill="FFFFFF"/>
        <w:ind w:firstLine="567"/>
      </w:pPr>
    </w:p>
    <w:p w14:paraId="39E48ED1" w14:textId="17DFD8D6" w:rsidR="003B12DA" w:rsidRDefault="003B12DA" w:rsidP="0089159C">
      <w:pPr>
        <w:shd w:val="clear" w:color="auto" w:fill="FFFFFF"/>
        <w:ind w:firstLine="567"/>
      </w:pPr>
    </w:p>
    <w:p w14:paraId="018E3BE0" w14:textId="26DC22D5" w:rsidR="003B12DA" w:rsidRDefault="003B12DA" w:rsidP="00887622">
      <w:pPr>
        <w:shd w:val="clear" w:color="auto" w:fill="FFFFFF"/>
        <w:ind w:firstLine="567"/>
        <w:jc w:val="right"/>
      </w:pPr>
      <w:r>
        <w:lastRenderedPageBreak/>
        <w:t>Продовження додатка</w:t>
      </w:r>
    </w:p>
    <w:p w14:paraId="5C709E3B" w14:textId="77777777" w:rsidR="003B12DA" w:rsidRPr="0089159C" w:rsidRDefault="003B12DA" w:rsidP="0089159C">
      <w:pPr>
        <w:shd w:val="clear" w:color="auto" w:fill="FFFFFF"/>
        <w:ind w:firstLine="567"/>
      </w:pPr>
    </w:p>
    <w:p w14:paraId="2600C869" w14:textId="5DBF496F" w:rsidR="0055019B" w:rsidRDefault="0089159C" w:rsidP="0069429A">
      <w:pPr>
        <w:shd w:val="clear" w:color="auto" w:fill="FFFFFF"/>
        <w:ind w:firstLine="567"/>
      </w:pPr>
      <w:r w:rsidRPr="0089159C">
        <w:t>Строк, на який фінансова компанія залучила кошти на умовах субординованого боргу, становить сім років (з 01 лютого 2020 року до 31 січня 2027 року).</w:t>
      </w:r>
    </w:p>
    <w:p w14:paraId="07153BAA" w14:textId="77777777" w:rsidR="0089159C" w:rsidRPr="0089159C" w:rsidRDefault="0089159C" w:rsidP="0089159C">
      <w:pPr>
        <w:shd w:val="clear" w:color="auto" w:fill="FFFFFF"/>
        <w:ind w:firstLine="567"/>
      </w:pPr>
      <w:r w:rsidRPr="0089159C">
        <w:t>Сума залучених коштів на умовах субординованого боргу, на яку отримано дозвіл, дорівнює 600000 грн, водночас фінансова компанія 01 липня 2023 року здійснила дострокове погашення субординованого боргу на суму 100000 грн.</w:t>
      </w:r>
    </w:p>
    <w:p w14:paraId="549EA23A" w14:textId="22A4FEA5" w:rsidR="0089159C" w:rsidRPr="0089159C" w:rsidRDefault="0089159C" w:rsidP="0089159C">
      <w:pPr>
        <w:shd w:val="clear" w:color="auto" w:fill="FFFFFF"/>
        <w:ind w:firstLine="567"/>
      </w:pPr>
      <w:r w:rsidRPr="0089159C">
        <w:t xml:space="preserve">Розрахунок суми субординованого боргу, що враховується </w:t>
      </w:r>
      <w:r w:rsidR="00E34894">
        <w:t>у</w:t>
      </w:r>
      <w:r w:rsidRPr="0089159C">
        <w:t xml:space="preserve"> склад</w:t>
      </w:r>
      <w:r w:rsidR="00E34894">
        <w:t>і</w:t>
      </w:r>
      <w:r w:rsidRPr="0089159C">
        <w:t xml:space="preserve"> власного капіталу з урахуванням достроково погашеної суми субординованого боргу, здійснюється так:</w:t>
      </w:r>
    </w:p>
    <w:p w14:paraId="64C2711F" w14:textId="77777777" w:rsidR="0089159C" w:rsidRPr="0089159C" w:rsidRDefault="0089159C" w:rsidP="0089159C">
      <w:pPr>
        <w:shd w:val="clear" w:color="auto" w:fill="FFFFFF"/>
        <w:ind w:firstLine="567"/>
      </w:pPr>
    </w:p>
    <w:p w14:paraId="127A9B3D" w14:textId="77777777" w:rsidR="0089159C" w:rsidRPr="0089159C" w:rsidRDefault="0089159C" w:rsidP="0089159C">
      <w:pPr>
        <w:shd w:val="clear" w:color="auto" w:fill="FFFFFF"/>
        <w:ind w:firstLine="567"/>
      </w:pPr>
      <w:r w:rsidRPr="0089159C">
        <w:t>1) з 01 лютого 2020 року до 31 січня 2023 року - 100%, або 600000 грн;</w:t>
      </w:r>
    </w:p>
    <w:p w14:paraId="04A238FF" w14:textId="77777777" w:rsidR="0089159C" w:rsidRPr="0089159C" w:rsidRDefault="0089159C" w:rsidP="0089159C">
      <w:pPr>
        <w:shd w:val="clear" w:color="auto" w:fill="FFFFFF"/>
        <w:ind w:firstLine="567"/>
      </w:pPr>
    </w:p>
    <w:p w14:paraId="5E714D33" w14:textId="77777777" w:rsidR="0089159C" w:rsidRPr="0089159C" w:rsidRDefault="0089159C" w:rsidP="0089159C">
      <w:pPr>
        <w:shd w:val="clear" w:color="auto" w:fill="FFFFFF"/>
        <w:ind w:firstLine="567"/>
      </w:pPr>
      <w:r w:rsidRPr="0089159C">
        <w:t>2) з 01 лютого 2023 року до 30 червня 2023 року - 80%, або 480000 грн;</w:t>
      </w:r>
    </w:p>
    <w:p w14:paraId="3BAB9111" w14:textId="77777777" w:rsidR="0089159C" w:rsidRPr="0089159C" w:rsidRDefault="0089159C" w:rsidP="0089159C">
      <w:pPr>
        <w:shd w:val="clear" w:color="auto" w:fill="FFFFFF"/>
        <w:ind w:firstLine="567"/>
      </w:pPr>
    </w:p>
    <w:p w14:paraId="3FE91676" w14:textId="60DC79D2" w:rsidR="0089159C" w:rsidRPr="0089159C" w:rsidRDefault="0089159C" w:rsidP="0089159C">
      <w:pPr>
        <w:shd w:val="clear" w:color="auto" w:fill="FFFFFF"/>
        <w:ind w:firstLine="567"/>
      </w:pPr>
      <w:r w:rsidRPr="0089159C">
        <w:t>3) з 01 липня 2023 року до 31 січня 2024 року - 80%, або 400000 грн</w:t>
      </w:r>
      <w:r w:rsidR="00EA38AF">
        <w:t>;</w:t>
      </w:r>
    </w:p>
    <w:p w14:paraId="6C0F8C2C" w14:textId="77777777" w:rsidR="0089159C" w:rsidRPr="0089159C" w:rsidRDefault="0089159C" w:rsidP="0089159C">
      <w:pPr>
        <w:shd w:val="clear" w:color="auto" w:fill="FFFFFF"/>
        <w:ind w:firstLine="567"/>
      </w:pPr>
    </w:p>
    <w:p w14:paraId="2B8175FD" w14:textId="77777777" w:rsidR="0089159C" w:rsidRPr="0089159C" w:rsidRDefault="0089159C" w:rsidP="0089159C">
      <w:pPr>
        <w:shd w:val="clear" w:color="auto" w:fill="FFFFFF"/>
        <w:ind w:firstLine="567"/>
      </w:pPr>
      <w:r w:rsidRPr="0089159C">
        <w:t>4) з 01 лютого 2024 року до 31 січня 2025 року - 60%, або 300000 грн;</w:t>
      </w:r>
    </w:p>
    <w:p w14:paraId="20982415" w14:textId="77777777" w:rsidR="0089159C" w:rsidRPr="0089159C" w:rsidRDefault="0089159C" w:rsidP="0089159C">
      <w:pPr>
        <w:shd w:val="clear" w:color="auto" w:fill="FFFFFF"/>
        <w:ind w:firstLine="567"/>
      </w:pPr>
    </w:p>
    <w:p w14:paraId="07AD03D0" w14:textId="77777777" w:rsidR="0089159C" w:rsidRPr="0089159C" w:rsidRDefault="0089159C" w:rsidP="0089159C">
      <w:pPr>
        <w:shd w:val="clear" w:color="auto" w:fill="FFFFFF"/>
        <w:ind w:firstLine="567"/>
      </w:pPr>
      <w:r w:rsidRPr="0089159C">
        <w:t>5) з 01 лютого2025 року до 31 січня 2026 року - 40%, або 200000 грн;</w:t>
      </w:r>
    </w:p>
    <w:p w14:paraId="1377EF4C" w14:textId="77777777" w:rsidR="0089159C" w:rsidRPr="0089159C" w:rsidRDefault="0089159C" w:rsidP="0089159C">
      <w:pPr>
        <w:shd w:val="clear" w:color="auto" w:fill="FFFFFF"/>
        <w:ind w:firstLine="567"/>
      </w:pPr>
    </w:p>
    <w:p w14:paraId="7B23FAF1" w14:textId="3BFFC7F3" w:rsidR="0089159C" w:rsidRPr="0089159C" w:rsidRDefault="0089159C" w:rsidP="0089159C">
      <w:pPr>
        <w:pStyle w:val="af3"/>
        <w:tabs>
          <w:tab w:val="left" w:pos="851"/>
        </w:tabs>
        <w:ind w:left="0" w:firstLine="567"/>
        <w:rPr>
          <w:bCs/>
        </w:rPr>
      </w:pPr>
      <w:r w:rsidRPr="0089159C">
        <w:t>6) з 01 лютого</w:t>
      </w:r>
      <w:r w:rsidRPr="0089159C">
        <w:rPr>
          <w:sz w:val="24"/>
          <w:szCs w:val="24"/>
        </w:rPr>
        <w:t xml:space="preserve"> </w:t>
      </w:r>
      <w:r w:rsidRPr="0089159C">
        <w:t>2026 року до 31 січня 2027 року - 20%, або 100000 грн</w:t>
      </w:r>
      <w:r w:rsidR="004B0685">
        <w:t>.</w:t>
      </w:r>
      <w:r>
        <w:t>”</w:t>
      </w:r>
      <w:r w:rsidRPr="0089159C">
        <w:t>.</w:t>
      </w:r>
    </w:p>
    <w:p w14:paraId="2E5EE291" w14:textId="77777777" w:rsidR="0089159C" w:rsidRPr="0089159C" w:rsidRDefault="0089159C" w:rsidP="0089159C">
      <w:pPr>
        <w:pStyle w:val="af3"/>
        <w:tabs>
          <w:tab w:val="left" w:pos="851"/>
        </w:tabs>
        <w:ind w:left="927"/>
        <w:rPr>
          <w:bCs/>
        </w:rPr>
      </w:pPr>
    </w:p>
    <w:p w14:paraId="0926A7A0" w14:textId="77777777" w:rsidR="00286522" w:rsidRPr="00286522" w:rsidRDefault="00286522" w:rsidP="00286522">
      <w:pPr>
        <w:tabs>
          <w:tab w:val="left" w:pos="851"/>
        </w:tabs>
        <w:rPr>
          <w:bCs/>
        </w:rPr>
      </w:pPr>
    </w:p>
    <w:p w14:paraId="2AF95B86" w14:textId="77777777" w:rsidR="00835F91" w:rsidRPr="00835F91" w:rsidRDefault="00835F91" w:rsidP="006960D6">
      <w:pPr>
        <w:pStyle w:val="af3"/>
        <w:tabs>
          <w:tab w:val="left" w:pos="851"/>
        </w:tabs>
        <w:ind w:left="927"/>
        <w:rPr>
          <w:bCs/>
        </w:rPr>
      </w:pPr>
      <w:r>
        <w:rPr>
          <w:bCs/>
        </w:rPr>
        <w:t xml:space="preserve"> </w:t>
      </w:r>
    </w:p>
    <w:p w14:paraId="3B38F893" w14:textId="77777777" w:rsidR="00E97A59" w:rsidRPr="00835F91" w:rsidRDefault="00E97A59" w:rsidP="005D2F3D">
      <w:pPr>
        <w:ind w:right="-1"/>
      </w:pPr>
    </w:p>
    <w:sectPr w:rsidR="00E97A59" w:rsidRPr="00835F91" w:rsidSect="00217040">
      <w:headerReference w:type="defaul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F04E" w14:textId="77777777" w:rsidR="00EC73A8" w:rsidRDefault="00EC73A8" w:rsidP="00E53CCD">
      <w:r>
        <w:separator/>
      </w:r>
    </w:p>
  </w:endnote>
  <w:endnote w:type="continuationSeparator" w:id="0">
    <w:p w14:paraId="6CAD646F" w14:textId="77777777" w:rsidR="00EC73A8" w:rsidRDefault="00EC73A8"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7BC0" w14:textId="77777777" w:rsidR="00EC73A8" w:rsidRDefault="00EC73A8" w:rsidP="00E53CCD">
      <w:r>
        <w:separator/>
      </w:r>
    </w:p>
  </w:footnote>
  <w:footnote w:type="continuationSeparator" w:id="0">
    <w:p w14:paraId="68DCF927" w14:textId="77777777" w:rsidR="00EC73A8" w:rsidRDefault="00EC73A8"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36675"/>
      <w:docPartObj>
        <w:docPartGallery w:val="Page Numbers (Top of Page)"/>
        <w:docPartUnique/>
      </w:docPartObj>
    </w:sdtPr>
    <w:sdtEndPr/>
    <w:sdtContent>
      <w:p w14:paraId="3071ECA3" w14:textId="77777777" w:rsidR="00217040" w:rsidRDefault="00217040">
        <w:pPr>
          <w:pStyle w:val="a5"/>
          <w:jc w:val="center"/>
        </w:pPr>
        <w:r>
          <w:fldChar w:fldCharType="begin"/>
        </w:r>
        <w:r>
          <w:instrText>PAGE   \* MERGEFORMAT</w:instrText>
        </w:r>
        <w:r>
          <w:fldChar w:fldCharType="separate"/>
        </w:r>
        <w:r w:rsidR="0055019B">
          <w:rPr>
            <w:noProof/>
          </w:rPr>
          <w:t>2</w:t>
        </w:r>
        <w:r>
          <w:fldChar w:fldCharType="end"/>
        </w:r>
      </w:p>
    </w:sdtContent>
  </w:sdt>
  <w:p w14:paraId="1D8FFE09" w14:textId="77777777" w:rsidR="00217040" w:rsidRDefault="002170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9232" w14:textId="77777777" w:rsidR="0055019B" w:rsidRDefault="005501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8380"/>
      <w:docPartObj>
        <w:docPartGallery w:val="Page Numbers (Top of Page)"/>
        <w:docPartUnique/>
      </w:docPartObj>
    </w:sdtPr>
    <w:sdtEndPr/>
    <w:sdtContent>
      <w:p w14:paraId="30C91168" w14:textId="7B669349" w:rsidR="00E9369A" w:rsidRDefault="00E9369A">
        <w:pPr>
          <w:pStyle w:val="a5"/>
          <w:jc w:val="center"/>
        </w:pPr>
        <w:r>
          <w:fldChar w:fldCharType="begin"/>
        </w:r>
        <w:r>
          <w:instrText>PAGE   \* MERGEFORMAT</w:instrText>
        </w:r>
        <w:r>
          <w:fldChar w:fldCharType="separate"/>
        </w:r>
        <w:r w:rsidR="003D28BE">
          <w:rPr>
            <w:noProof/>
          </w:rPr>
          <w:t>2</w:t>
        </w:r>
        <w:r>
          <w:fldChar w:fldCharType="end"/>
        </w:r>
      </w:p>
    </w:sdtContent>
  </w:sdt>
  <w:p w14:paraId="2CAD8E3C" w14:textId="77777777" w:rsidR="00E9369A" w:rsidRDefault="00E936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E1913"/>
    <w:multiLevelType w:val="hybridMultilevel"/>
    <w:tmpl w:val="3258D13A"/>
    <w:lvl w:ilvl="0" w:tplc="9A7856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8C609DE"/>
    <w:multiLevelType w:val="hybridMultilevel"/>
    <w:tmpl w:val="18F861BA"/>
    <w:lvl w:ilvl="0" w:tplc="007273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6D967C5"/>
    <w:multiLevelType w:val="hybridMultilevel"/>
    <w:tmpl w:val="FE885838"/>
    <w:lvl w:ilvl="0" w:tplc="C4BE280E">
      <w:start w:val="1"/>
      <w:numFmt w:val="decimal"/>
      <w:lvlText w:val="%1)"/>
      <w:lvlJc w:val="left"/>
      <w:pPr>
        <w:ind w:left="1044" w:hanging="360"/>
      </w:pPr>
      <w:rPr>
        <w:b w:val="0"/>
      </w:rPr>
    </w:lvl>
    <w:lvl w:ilvl="1" w:tplc="04220019">
      <w:start w:val="1"/>
      <w:numFmt w:val="lowerLetter"/>
      <w:lvlText w:val="%2."/>
      <w:lvlJc w:val="left"/>
      <w:pPr>
        <w:ind w:left="1764" w:hanging="360"/>
      </w:pPr>
    </w:lvl>
    <w:lvl w:ilvl="2" w:tplc="0422001B">
      <w:start w:val="1"/>
      <w:numFmt w:val="lowerRoman"/>
      <w:lvlText w:val="%3."/>
      <w:lvlJc w:val="right"/>
      <w:pPr>
        <w:ind w:left="2484" w:hanging="180"/>
      </w:pPr>
    </w:lvl>
    <w:lvl w:ilvl="3" w:tplc="0422000F">
      <w:start w:val="1"/>
      <w:numFmt w:val="decimal"/>
      <w:lvlText w:val="%4."/>
      <w:lvlJc w:val="left"/>
      <w:pPr>
        <w:ind w:left="3204" w:hanging="360"/>
      </w:pPr>
    </w:lvl>
    <w:lvl w:ilvl="4" w:tplc="04220019">
      <w:start w:val="1"/>
      <w:numFmt w:val="lowerLetter"/>
      <w:lvlText w:val="%5."/>
      <w:lvlJc w:val="left"/>
      <w:pPr>
        <w:ind w:left="3924" w:hanging="360"/>
      </w:pPr>
    </w:lvl>
    <w:lvl w:ilvl="5" w:tplc="0422001B">
      <w:start w:val="1"/>
      <w:numFmt w:val="lowerRoman"/>
      <w:lvlText w:val="%6."/>
      <w:lvlJc w:val="right"/>
      <w:pPr>
        <w:ind w:left="4644" w:hanging="180"/>
      </w:pPr>
    </w:lvl>
    <w:lvl w:ilvl="6" w:tplc="0422000F">
      <w:start w:val="1"/>
      <w:numFmt w:val="decimal"/>
      <w:lvlText w:val="%7."/>
      <w:lvlJc w:val="left"/>
      <w:pPr>
        <w:ind w:left="5364" w:hanging="360"/>
      </w:pPr>
    </w:lvl>
    <w:lvl w:ilvl="7" w:tplc="04220019">
      <w:start w:val="1"/>
      <w:numFmt w:val="lowerLetter"/>
      <w:lvlText w:val="%8."/>
      <w:lvlJc w:val="left"/>
      <w:pPr>
        <w:ind w:left="6084" w:hanging="360"/>
      </w:pPr>
    </w:lvl>
    <w:lvl w:ilvl="8" w:tplc="0422001B">
      <w:start w:val="1"/>
      <w:numFmt w:val="lowerRoman"/>
      <w:lvlText w:val="%9."/>
      <w:lvlJc w:val="right"/>
      <w:pPr>
        <w:ind w:left="6804"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A6"/>
    <w:rsid w:val="000064FA"/>
    <w:rsid w:val="00013134"/>
    <w:rsid w:val="00015FDE"/>
    <w:rsid w:val="00016403"/>
    <w:rsid w:val="00030A92"/>
    <w:rsid w:val="000378F7"/>
    <w:rsid w:val="0003793C"/>
    <w:rsid w:val="000506D8"/>
    <w:rsid w:val="00063480"/>
    <w:rsid w:val="000647C1"/>
    <w:rsid w:val="000713E8"/>
    <w:rsid w:val="00077104"/>
    <w:rsid w:val="00097B89"/>
    <w:rsid w:val="000B2990"/>
    <w:rsid w:val="000B5ADB"/>
    <w:rsid w:val="000C3F58"/>
    <w:rsid w:val="000D44E2"/>
    <w:rsid w:val="000E3AF1"/>
    <w:rsid w:val="000E4B44"/>
    <w:rsid w:val="000E700F"/>
    <w:rsid w:val="00100163"/>
    <w:rsid w:val="001025EF"/>
    <w:rsid w:val="00102C1C"/>
    <w:rsid w:val="001068E6"/>
    <w:rsid w:val="00114AF4"/>
    <w:rsid w:val="001652CD"/>
    <w:rsid w:val="00172C44"/>
    <w:rsid w:val="001740C0"/>
    <w:rsid w:val="00176557"/>
    <w:rsid w:val="00190E1A"/>
    <w:rsid w:val="00192423"/>
    <w:rsid w:val="001A16FA"/>
    <w:rsid w:val="001A42D2"/>
    <w:rsid w:val="001B248E"/>
    <w:rsid w:val="001D3A55"/>
    <w:rsid w:val="001D487A"/>
    <w:rsid w:val="001E2732"/>
    <w:rsid w:val="001E5DB4"/>
    <w:rsid w:val="001F591C"/>
    <w:rsid w:val="001F64D4"/>
    <w:rsid w:val="001F71E8"/>
    <w:rsid w:val="00204F22"/>
    <w:rsid w:val="00207DA9"/>
    <w:rsid w:val="0021268A"/>
    <w:rsid w:val="00214981"/>
    <w:rsid w:val="00217040"/>
    <w:rsid w:val="00221E4D"/>
    <w:rsid w:val="00233146"/>
    <w:rsid w:val="0023651D"/>
    <w:rsid w:val="00240C82"/>
    <w:rsid w:val="00241373"/>
    <w:rsid w:val="002453A3"/>
    <w:rsid w:val="00253BF9"/>
    <w:rsid w:val="00257FAC"/>
    <w:rsid w:val="00264983"/>
    <w:rsid w:val="00272B80"/>
    <w:rsid w:val="002846E4"/>
    <w:rsid w:val="00286522"/>
    <w:rsid w:val="002A172E"/>
    <w:rsid w:val="002A7DE0"/>
    <w:rsid w:val="002C1977"/>
    <w:rsid w:val="002C677D"/>
    <w:rsid w:val="002C7B4D"/>
    <w:rsid w:val="002D171B"/>
    <w:rsid w:val="002D1790"/>
    <w:rsid w:val="002D5205"/>
    <w:rsid w:val="002D52F9"/>
    <w:rsid w:val="002E023A"/>
    <w:rsid w:val="002E39B0"/>
    <w:rsid w:val="002F33F0"/>
    <w:rsid w:val="002F660B"/>
    <w:rsid w:val="0031386A"/>
    <w:rsid w:val="0033133D"/>
    <w:rsid w:val="00356E34"/>
    <w:rsid w:val="00357676"/>
    <w:rsid w:val="00364833"/>
    <w:rsid w:val="00371783"/>
    <w:rsid w:val="0038167B"/>
    <w:rsid w:val="0038385E"/>
    <w:rsid w:val="003866B3"/>
    <w:rsid w:val="003A383B"/>
    <w:rsid w:val="003B12DA"/>
    <w:rsid w:val="003B4F96"/>
    <w:rsid w:val="003C2EFE"/>
    <w:rsid w:val="003C3282"/>
    <w:rsid w:val="003C3985"/>
    <w:rsid w:val="003C421E"/>
    <w:rsid w:val="003C7337"/>
    <w:rsid w:val="003D19A3"/>
    <w:rsid w:val="003D28BE"/>
    <w:rsid w:val="003F4317"/>
    <w:rsid w:val="00401EDB"/>
    <w:rsid w:val="00404C93"/>
    <w:rsid w:val="00407877"/>
    <w:rsid w:val="00410EC0"/>
    <w:rsid w:val="00410FA1"/>
    <w:rsid w:val="004318B3"/>
    <w:rsid w:val="00432337"/>
    <w:rsid w:val="004364A7"/>
    <w:rsid w:val="004414F7"/>
    <w:rsid w:val="0045245D"/>
    <w:rsid w:val="00455B45"/>
    <w:rsid w:val="00457609"/>
    <w:rsid w:val="00472E7B"/>
    <w:rsid w:val="00477720"/>
    <w:rsid w:val="00484152"/>
    <w:rsid w:val="00493891"/>
    <w:rsid w:val="00494BE0"/>
    <w:rsid w:val="004A7F75"/>
    <w:rsid w:val="004B0685"/>
    <w:rsid w:val="004B4733"/>
    <w:rsid w:val="004D51D6"/>
    <w:rsid w:val="004D7E2E"/>
    <w:rsid w:val="004E0515"/>
    <w:rsid w:val="004E22E2"/>
    <w:rsid w:val="004F5AE4"/>
    <w:rsid w:val="004F62FC"/>
    <w:rsid w:val="005208DE"/>
    <w:rsid w:val="00523C13"/>
    <w:rsid w:val="005257C2"/>
    <w:rsid w:val="00540210"/>
    <w:rsid w:val="00542533"/>
    <w:rsid w:val="0055019B"/>
    <w:rsid w:val="005537EC"/>
    <w:rsid w:val="005624B6"/>
    <w:rsid w:val="00563A19"/>
    <w:rsid w:val="00563AC1"/>
    <w:rsid w:val="00566833"/>
    <w:rsid w:val="0057237F"/>
    <w:rsid w:val="00577402"/>
    <w:rsid w:val="00591298"/>
    <w:rsid w:val="005A0F4B"/>
    <w:rsid w:val="005A1D3C"/>
    <w:rsid w:val="005A2BBA"/>
    <w:rsid w:val="005A3F34"/>
    <w:rsid w:val="005A6B99"/>
    <w:rsid w:val="005B2D03"/>
    <w:rsid w:val="005C5CBF"/>
    <w:rsid w:val="005D2F3D"/>
    <w:rsid w:val="005F6418"/>
    <w:rsid w:val="00610F11"/>
    <w:rsid w:val="0061599B"/>
    <w:rsid w:val="0063071E"/>
    <w:rsid w:val="0063271C"/>
    <w:rsid w:val="00640612"/>
    <w:rsid w:val="00653558"/>
    <w:rsid w:val="00655864"/>
    <w:rsid w:val="00670C95"/>
    <w:rsid w:val="00681460"/>
    <w:rsid w:val="00682053"/>
    <w:rsid w:val="00684225"/>
    <w:rsid w:val="006871CD"/>
    <w:rsid w:val="0069429A"/>
    <w:rsid w:val="006951CC"/>
    <w:rsid w:val="006960D6"/>
    <w:rsid w:val="006A0AE1"/>
    <w:rsid w:val="006B2748"/>
    <w:rsid w:val="006C4176"/>
    <w:rsid w:val="006C66EF"/>
    <w:rsid w:val="006D2617"/>
    <w:rsid w:val="006E2386"/>
    <w:rsid w:val="006F3CFB"/>
    <w:rsid w:val="0070152E"/>
    <w:rsid w:val="00702896"/>
    <w:rsid w:val="0071789F"/>
    <w:rsid w:val="007200B0"/>
    <w:rsid w:val="00723886"/>
    <w:rsid w:val="007476B2"/>
    <w:rsid w:val="007802D9"/>
    <w:rsid w:val="00783228"/>
    <w:rsid w:val="00783AF2"/>
    <w:rsid w:val="0079324A"/>
    <w:rsid w:val="007A038B"/>
    <w:rsid w:val="007A6609"/>
    <w:rsid w:val="007E26FB"/>
    <w:rsid w:val="007E2E2F"/>
    <w:rsid w:val="007E7809"/>
    <w:rsid w:val="007F24D1"/>
    <w:rsid w:val="007F514C"/>
    <w:rsid w:val="00802988"/>
    <w:rsid w:val="008135AE"/>
    <w:rsid w:val="00834346"/>
    <w:rsid w:val="00835F91"/>
    <w:rsid w:val="00850F68"/>
    <w:rsid w:val="008555CA"/>
    <w:rsid w:val="00866993"/>
    <w:rsid w:val="00874366"/>
    <w:rsid w:val="00887622"/>
    <w:rsid w:val="0089159C"/>
    <w:rsid w:val="008A58E9"/>
    <w:rsid w:val="008A704D"/>
    <w:rsid w:val="008B014D"/>
    <w:rsid w:val="008B164A"/>
    <w:rsid w:val="008C2498"/>
    <w:rsid w:val="008C6264"/>
    <w:rsid w:val="008D10FD"/>
    <w:rsid w:val="008D122F"/>
    <w:rsid w:val="00904F17"/>
    <w:rsid w:val="00961672"/>
    <w:rsid w:val="0097288F"/>
    <w:rsid w:val="00984B02"/>
    <w:rsid w:val="009943E9"/>
    <w:rsid w:val="00994CD4"/>
    <w:rsid w:val="00995A8D"/>
    <w:rsid w:val="009A4DE6"/>
    <w:rsid w:val="009B7F4D"/>
    <w:rsid w:val="009C717F"/>
    <w:rsid w:val="009D6D44"/>
    <w:rsid w:val="009F5055"/>
    <w:rsid w:val="009F5312"/>
    <w:rsid w:val="00A006E8"/>
    <w:rsid w:val="00A06ADB"/>
    <w:rsid w:val="00A104FB"/>
    <w:rsid w:val="00A23E04"/>
    <w:rsid w:val="00A47EF0"/>
    <w:rsid w:val="00A50DC0"/>
    <w:rsid w:val="00A51C39"/>
    <w:rsid w:val="00A54B32"/>
    <w:rsid w:val="00A60AFD"/>
    <w:rsid w:val="00A708BE"/>
    <w:rsid w:val="00A72446"/>
    <w:rsid w:val="00A72F06"/>
    <w:rsid w:val="00A77FFD"/>
    <w:rsid w:val="00A862D9"/>
    <w:rsid w:val="00A91117"/>
    <w:rsid w:val="00AA726B"/>
    <w:rsid w:val="00AB1C0F"/>
    <w:rsid w:val="00AB28F1"/>
    <w:rsid w:val="00AC47B6"/>
    <w:rsid w:val="00AE16F0"/>
    <w:rsid w:val="00AF59AC"/>
    <w:rsid w:val="00B12A6F"/>
    <w:rsid w:val="00B237C2"/>
    <w:rsid w:val="00B24F71"/>
    <w:rsid w:val="00B31892"/>
    <w:rsid w:val="00B332B2"/>
    <w:rsid w:val="00B5752E"/>
    <w:rsid w:val="00B616A5"/>
    <w:rsid w:val="00B66974"/>
    <w:rsid w:val="00B67B26"/>
    <w:rsid w:val="00B77FBC"/>
    <w:rsid w:val="00B85728"/>
    <w:rsid w:val="00B930E3"/>
    <w:rsid w:val="00BB44AB"/>
    <w:rsid w:val="00BC6419"/>
    <w:rsid w:val="00BE6C11"/>
    <w:rsid w:val="00BF052C"/>
    <w:rsid w:val="00BF0770"/>
    <w:rsid w:val="00C21D33"/>
    <w:rsid w:val="00C22D27"/>
    <w:rsid w:val="00C261F6"/>
    <w:rsid w:val="00C36ED6"/>
    <w:rsid w:val="00C41293"/>
    <w:rsid w:val="00C422E3"/>
    <w:rsid w:val="00C4377C"/>
    <w:rsid w:val="00C437A7"/>
    <w:rsid w:val="00C65DEC"/>
    <w:rsid w:val="00C763A3"/>
    <w:rsid w:val="00C80F5E"/>
    <w:rsid w:val="00C82259"/>
    <w:rsid w:val="00C831BC"/>
    <w:rsid w:val="00C8418C"/>
    <w:rsid w:val="00CC7515"/>
    <w:rsid w:val="00CD7381"/>
    <w:rsid w:val="00CE3B9F"/>
    <w:rsid w:val="00CF256F"/>
    <w:rsid w:val="00CF5E76"/>
    <w:rsid w:val="00D0057B"/>
    <w:rsid w:val="00D11F25"/>
    <w:rsid w:val="00D27113"/>
    <w:rsid w:val="00D33A3D"/>
    <w:rsid w:val="00D34DCC"/>
    <w:rsid w:val="00D400B9"/>
    <w:rsid w:val="00D73DBB"/>
    <w:rsid w:val="00D74DCE"/>
    <w:rsid w:val="00D842D0"/>
    <w:rsid w:val="00DA03BA"/>
    <w:rsid w:val="00DC1E60"/>
    <w:rsid w:val="00DD106B"/>
    <w:rsid w:val="00DD40A6"/>
    <w:rsid w:val="00DD60CC"/>
    <w:rsid w:val="00DD71CB"/>
    <w:rsid w:val="00DE6D70"/>
    <w:rsid w:val="00E33B0E"/>
    <w:rsid w:val="00E34894"/>
    <w:rsid w:val="00E34A3F"/>
    <w:rsid w:val="00E43E79"/>
    <w:rsid w:val="00E47F15"/>
    <w:rsid w:val="00E53CB5"/>
    <w:rsid w:val="00E53CCD"/>
    <w:rsid w:val="00E8777E"/>
    <w:rsid w:val="00E90475"/>
    <w:rsid w:val="00E9369A"/>
    <w:rsid w:val="00E97A59"/>
    <w:rsid w:val="00EA1DE4"/>
    <w:rsid w:val="00EA38AF"/>
    <w:rsid w:val="00EA3A24"/>
    <w:rsid w:val="00EC40A6"/>
    <w:rsid w:val="00EC73A8"/>
    <w:rsid w:val="00ED042F"/>
    <w:rsid w:val="00ED5EF3"/>
    <w:rsid w:val="00EE3E8A"/>
    <w:rsid w:val="00EE7AD2"/>
    <w:rsid w:val="00F003D3"/>
    <w:rsid w:val="00F03226"/>
    <w:rsid w:val="00F03E32"/>
    <w:rsid w:val="00F31023"/>
    <w:rsid w:val="00F332C0"/>
    <w:rsid w:val="00F42E75"/>
    <w:rsid w:val="00F52D16"/>
    <w:rsid w:val="00F53032"/>
    <w:rsid w:val="00F5322B"/>
    <w:rsid w:val="00F63BD9"/>
    <w:rsid w:val="00F6694C"/>
    <w:rsid w:val="00F717EF"/>
    <w:rsid w:val="00F96F18"/>
    <w:rsid w:val="00FA7B67"/>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D39EA9"/>
  <w15:docId w15:val="{462585BB-4EF2-4435-B6C9-97730ABE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paragraph" w:customStyle="1" w:styleId="rvps2">
    <w:name w:val="rvps2"/>
    <w:basedOn w:val="a"/>
    <w:rsid w:val="00286522"/>
    <w:pPr>
      <w:spacing w:before="100" w:beforeAutospacing="1" w:after="100" w:afterAutospacing="1"/>
      <w:jc w:val="left"/>
    </w:pPr>
    <w:rPr>
      <w:sz w:val="24"/>
      <w:szCs w:val="24"/>
    </w:rPr>
  </w:style>
  <w:style w:type="paragraph" w:styleId="af5">
    <w:name w:val="annotation text"/>
    <w:basedOn w:val="a"/>
    <w:link w:val="af6"/>
    <w:uiPriority w:val="99"/>
    <w:unhideWhenUsed/>
    <w:rsid w:val="0089159C"/>
    <w:pPr>
      <w:spacing w:after="160"/>
      <w:jc w:val="left"/>
    </w:pPr>
    <w:rPr>
      <w:rFonts w:asciiTheme="minorHAnsi" w:eastAsiaTheme="minorHAnsi" w:hAnsiTheme="minorHAnsi" w:cstheme="minorBidi"/>
      <w:sz w:val="20"/>
      <w:szCs w:val="20"/>
      <w:lang w:eastAsia="en-US"/>
    </w:rPr>
  </w:style>
  <w:style w:type="character" w:customStyle="1" w:styleId="af6">
    <w:name w:val="Текст примітки Знак"/>
    <w:basedOn w:val="a0"/>
    <w:link w:val="af5"/>
    <w:uiPriority w:val="99"/>
    <w:rsid w:val="0089159C"/>
    <w:rPr>
      <w:rFonts w:eastAsiaTheme="minorHAnsi" w:cstheme="minorBidi"/>
      <w:sz w:val="20"/>
      <w:szCs w:val="20"/>
    </w:rPr>
  </w:style>
  <w:style w:type="character" w:styleId="af7">
    <w:name w:val="annotation reference"/>
    <w:basedOn w:val="a0"/>
    <w:uiPriority w:val="99"/>
    <w:semiHidden/>
    <w:unhideWhenUsed/>
    <w:rsid w:val="00A91117"/>
    <w:rPr>
      <w:sz w:val="16"/>
      <w:szCs w:val="16"/>
    </w:rPr>
  </w:style>
  <w:style w:type="paragraph" w:styleId="af8">
    <w:name w:val="annotation subject"/>
    <w:basedOn w:val="af5"/>
    <w:next w:val="af5"/>
    <w:link w:val="af9"/>
    <w:uiPriority w:val="99"/>
    <w:semiHidden/>
    <w:unhideWhenUsed/>
    <w:rsid w:val="00A91117"/>
    <w:pPr>
      <w:spacing w:after="0"/>
      <w:jc w:val="both"/>
    </w:pPr>
    <w:rPr>
      <w:rFonts w:ascii="Times New Roman" w:eastAsia="Times New Roman" w:hAnsi="Times New Roman" w:cs="Times New Roman"/>
      <w:b/>
      <w:bCs/>
      <w:lang w:eastAsia="uk-UA"/>
    </w:rPr>
  </w:style>
  <w:style w:type="character" w:customStyle="1" w:styleId="af9">
    <w:name w:val="Тема примітки Знак"/>
    <w:basedOn w:val="af6"/>
    <w:link w:val="af8"/>
    <w:uiPriority w:val="99"/>
    <w:semiHidden/>
    <w:rsid w:val="00A91117"/>
    <w:rPr>
      <w:rFonts w:ascii="Times New Roman" w:eastAsiaTheme="minorHAnsi"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907">
      <w:bodyDiv w:val="1"/>
      <w:marLeft w:val="0"/>
      <w:marRight w:val="0"/>
      <w:marTop w:val="0"/>
      <w:marBottom w:val="0"/>
      <w:divBdr>
        <w:top w:val="none" w:sz="0" w:space="0" w:color="auto"/>
        <w:left w:val="none" w:sz="0" w:space="0" w:color="auto"/>
        <w:bottom w:val="none" w:sz="0" w:space="0" w:color="auto"/>
        <w:right w:val="none" w:sz="0" w:space="0" w:color="auto"/>
      </w:divBdr>
    </w:div>
    <w:div w:id="1230649606">
      <w:bodyDiv w:val="1"/>
      <w:marLeft w:val="0"/>
      <w:marRight w:val="0"/>
      <w:marTop w:val="0"/>
      <w:marBottom w:val="0"/>
      <w:divBdr>
        <w:top w:val="none" w:sz="0" w:space="0" w:color="auto"/>
        <w:left w:val="none" w:sz="0" w:space="0" w:color="auto"/>
        <w:bottom w:val="none" w:sz="0" w:space="0" w:color="auto"/>
        <w:right w:val="none" w:sz="0" w:space="0" w:color="auto"/>
      </w:divBdr>
    </w:div>
    <w:div w:id="1402941920">
      <w:bodyDiv w:val="1"/>
      <w:marLeft w:val="0"/>
      <w:marRight w:val="0"/>
      <w:marTop w:val="0"/>
      <w:marBottom w:val="0"/>
      <w:divBdr>
        <w:top w:val="none" w:sz="0" w:space="0" w:color="auto"/>
        <w:left w:val="none" w:sz="0" w:space="0" w:color="auto"/>
        <w:bottom w:val="none" w:sz="0" w:space="0" w:color="auto"/>
        <w:right w:val="none" w:sz="0" w:space="0" w:color="auto"/>
      </w:divBdr>
    </w:div>
    <w:div w:id="18419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1BEF984F2E4EEEB3B4D096588A0B7C"/>
        <w:category>
          <w:name w:val="Загальні"/>
          <w:gallery w:val="placeholder"/>
        </w:category>
        <w:types>
          <w:type w:val="bbPlcHdr"/>
        </w:types>
        <w:behaviors>
          <w:behavior w:val="content"/>
        </w:behaviors>
        <w:guid w:val="{0EC2F599-7FC3-4526-A05B-E8A39A6EBDFF}"/>
      </w:docPartPr>
      <w:docPartBody>
        <w:p w:rsidR="00FF5498" w:rsidRDefault="004E188B" w:rsidP="004E188B">
          <w:pPr>
            <w:pStyle w:val="F91BEF984F2E4EEEB3B4D096588A0B7C"/>
          </w:pPr>
          <w:r w:rsidRPr="00CD0CD4">
            <w:rPr>
              <w:color w:val="808080" w:themeColor="background1" w:themeShade="80"/>
            </w:rPr>
            <w:t>[</w:t>
          </w:r>
          <w:r>
            <w:rPr>
              <w:color w:val="808080" w:themeColor="background1" w:themeShade="80"/>
            </w:rPr>
            <w:t>Власне ім’я</w:t>
          </w:r>
          <w:r w:rsidRPr="00CD0CD4">
            <w:rPr>
              <w:color w:val="808080" w:themeColor="background1" w:themeShade="80"/>
            </w:rPr>
            <w:t xml:space="preserve"> ПРІЗВИЩЕ]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8B"/>
    <w:rsid w:val="00257F70"/>
    <w:rsid w:val="00274247"/>
    <w:rsid w:val="00371A74"/>
    <w:rsid w:val="00395F56"/>
    <w:rsid w:val="004E188B"/>
    <w:rsid w:val="005D76D4"/>
    <w:rsid w:val="008F13CC"/>
    <w:rsid w:val="00966A80"/>
    <w:rsid w:val="00A111DB"/>
    <w:rsid w:val="00A63DBE"/>
    <w:rsid w:val="00E513CE"/>
    <w:rsid w:val="00F24D38"/>
    <w:rsid w:val="00FF54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rFonts w:cs="Times New Roman"/>
      <w:color w:val="808080"/>
    </w:rPr>
  </w:style>
  <w:style w:type="paragraph" w:customStyle="1" w:styleId="9316E8EBEBE34EE3902FEF5104B33210">
    <w:name w:val="9316E8EBEBE34EE3902FEF5104B33210"/>
  </w:style>
  <w:style w:type="paragraph" w:customStyle="1" w:styleId="D574AC1F555D4DF6A205067033F0DA28">
    <w:name w:val="D574AC1F555D4DF6A205067033F0DA28"/>
  </w:style>
  <w:style w:type="paragraph" w:customStyle="1" w:styleId="F66EE03805A9442FB7776C8B92100A49">
    <w:name w:val="F66EE03805A9442FB7776C8B92100A49"/>
  </w:style>
  <w:style w:type="paragraph" w:customStyle="1" w:styleId="520986C1B25D4D0FBEB416141F0D42CA">
    <w:name w:val="520986C1B25D4D0FBEB416141F0D42CA"/>
  </w:style>
  <w:style w:type="paragraph" w:customStyle="1" w:styleId="AFB79EAE83694895A8266CA1A36200BB">
    <w:name w:val="AFB79EAE83694895A8266CA1A36200BB"/>
  </w:style>
  <w:style w:type="paragraph" w:customStyle="1" w:styleId="2AFDA654CD79476FA7DA42D52232D069">
    <w:name w:val="2AFDA654CD79476FA7DA42D52232D069"/>
  </w:style>
  <w:style w:type="paragraph" w:customStyle="1" w:styleId="BFFA8D1C7A5C467BA84F0ED3D3820B4B">
    <w:name w:val="BFFA8D1C7A5C467BA84F0ED3D3820B4B"/>
  </w:style>
  <w:style w:type="paragraph" w:customStyle="1" w:styleId="EB2162775D5843B1B1CB21B9D89DE473">
    <w:name w:val="EB2162775D5843B1B1CB21B9D89DE473"/>
  </w:style>
  <w:style w:type="paragraph" w:customStyle="1" w:styleId="712D1E6ECD7D465AB94AFF361CF7E16D">
    <w:name w:val="712D1E6ECD7D465AB94AFF361CF7E16D"/>
  </w:style>
  <w:style w:type="paragraph" w:customStyle="1" w:styleId="5C1127856D124FF4AB140B916B7B5A47">
    <w:name w:val="5C1127856D124FF4AB140B916B7B5A47"/>
  </w:style>
  <w:style w:type="paragraph" w:customStyle="1" w:styleId="6457D4F66BB64D4F90C2294D0DA416E7">
    <w:name w:val="6457D4F66BB64D4F90C2294D0DA416E7"/>
  </w:style>
  <w:style w:type="paragraph" w:customStyle="1" w:styleId="00CDF9EAF3FB450899CC1DF3F1A19A0E">
    <w:name w:val="00CDF9EAF3FB450899CC1DF3F1A19A0E"/>
  </w:style>
  <w:style w:type="paragraph" w:customStyle="1" w:styleId="47870D595E994210AC4DC4DA552C7F62">
    <w:name w:val="47870D595E994210AC4DC4DA552C7F62"/>
  </w:style>
  <w:style w:type="paragraph" w:customStyle="1" w:styleId="4B5FF55D690549D1B19A5F788ABF7571">
    <w:name w:val="4B5FF55D690549D1B19A5F788ABF7571"/>
    <w:rsid w:val="004E188B"/>
  </w:style>
  <w:style w:type="paragraph" w:customStyle="1" w:styleId="F91BEF984F2E4EEEB3B4D096588A0B7C">
    <w:name w:val="F91BEF984F2E4EEEB3B4D096588A0B7C"/>
    <w:rsid w:val="004E188B"/>
  </w:style>
  <w:style w:type="paragraph" w:customStyle="1" w:styleId="A3AC9335A6A541C1A26FCADDDCD0E289">
    <w:name w:val="A3AC9335A6A541C1A26FCADDDCD0E289"/>
    <w:rsid w:val="00966A80"/>
  </w:style>
  <w:style w:type="paragraph" w:customStyle="1" w:styleId="A5880DA1744F4D78A78F23FD52053465">
    <w:name w:val="A5880DA1744F4D78A78F23FD52053465"/>
    <w:rsid w:val="00966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13350F4-909E-4EC8-9EEB-001F4947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35</TotalTime>
  <Pages>6</Pages>
  <Words>5300</Words>
  <Characters>3021</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Жигінас Владислав Васильович</dc:creator>
  <cp:lastModifiedBy>Жигінас Владислав Васильович</cp:lastModifiedBy>
  <cp:revision>14</cp:revision>
  <cp:lastPrinted>2025-06-20T09:16:00Z</cp:lastPrinted>
  <dcterms:created xsi:type="dcterms:W3CDTF">2025-06-19T06:14:00Z</dcterms:created>
  <dcterms:modified xsi:type="dcterms:W3CDTF">2025-06-20T09:17:00Z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